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F19F" w14:textId="77777777" w:rsidR="00C87D57" w:rsidRPr="00C87D57" w:rsidRDefault="00C87D57" w:rsidP="00C87D57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C87D57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(5 tagjának jelenlétében) – a döntéshozatalhoz előírt szavazatszámnak megfelelően – 5 igen (18249 fő lakosságszámot képviselve), 0 nem és 0 tartózkodás mellett az alábbi határozatot hozta:</w:t>
      </w:r>
    </w:p>
    <w:p w14:paraId="1AAE3FA0" w14:textId="77777777" w:rsidR="00C87D57" w:rsidRPr="00C87D57" w:rsidRDefault="00C87D57" w:rsidP="00C87D57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9CB8EF4" w14:textId="77777777" w:rsidR="00C87D57" w:rsidRPr="00C87D57" w:rsidRDefault="00C87D57" w:rsidP="00C87D57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137F877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87D57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5B43AE31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87D57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4E7E7A26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87D57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2/2025. (I.30.) határozata</w:t>
      </w:r>
    </w:p>
    <w:p w14:paraId="6520DBC5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89BF7D9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C87D57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Meseház Óvoda-Bölcsőde nyári zárva tartásának elfogadása tárgyában</w:t>
      </w:r>
    </w:p>
    <w:p w14:paraId="52800D28" w14:textId="77777777" w:rsidR="00C87D57" w:rsidRPr="00C87D57" w:rsidRDefault="00C87D57" w:rsidP="00C87D5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585A2C2" w14:textId="77777777" w:rsidR="00C87D57" w:rsidRPr="00C87D57" w:rsidRDefault="00C87D57" w:rsidP="00C87D57">
      <w:pPr>
        <w:spacing w:after="0" w:line="240" w:lineRule="auto"/>
        <w:jc w:val="both"/>
        <w:rPr>
          <w:rFonts w:ascii="Arial" w:eastAsia="Calibri" w:hAnsi="Arial" w:cs="Arial"/>
          <w:kern w:val="0"/>
          <w:szCs w:val="22"/>
          <w14:ligatures w14:val="none"/>
        </w:rPr>
      </w:pPr>
      <w:r w:rsidRPr="00C87D57">
        <w:rPr>
          <w:rFonts w:ascii="Arial" w:eastAsia="Calibri" w:hAnsi="Arial" w:cs="Arial"/>
          <w:kern w:val="0"/>
          <w:szCs w:val="22"/>
          <w14:ligatures w14:val="none"/>
        </w:rPr>
        <w:t xml:space="preserve">A Móri Többcélú Kistérségi Társulás Társulási Tanácsa a Társulás által fenntartott </w:t>
      </w:r>
      <w:r w:rsidRPr="00C87D57">
        <w:rPr>
          <w:rFonts w:ascii="Arial" w:eastAsia="Calibri" w:hAnsi="Arial" w:cs="Arial"/>
          <w:b/>
          <w:kern w:val="0"/>
          <w:szCs w:val="22"/>
          <w14:ligatures w14:val="none"/>
        </w:rPr>
        <w:t>Meseház Óvoda-Bölcsőde</w:t>
      </w:r>
      <w:r w:rsidRPr="00C87D57">
        <w:rPr>
          <w:rFonts w:ascii="Arial" w:eastAsia="Calibri" w:hAnsi="Arial" w:cs="Arial"/>
          <w:kern w:val="0"/>
          <w:szCs w:val="22"/>
          <w14:ligatures w14:val="none"/>
        </w:rPr>
        <w:t xml:space="preserve"> nyári zárva tartásáról szóló tájékoztatást az alábbiak szerint jóváhagyja:</w:t>
      </w:r>
    </w:p>
    <w:p w14:paraId="42C19D2E" w14:textId="77777777" w:rsidR="00C87D57" w:rsidRPr="00C87D57" w:rsidRDefault="00C87D57" w:rsidP="00C87D57">
      <w:pPr>
        <w:spacing w:after="0" w:line="240" w:lineRule="auto"/>
        <w:jc w:val="both"/>
        <w:rPr>
          <w:rFonts w:ascii="Arial" w:eastAsia="Calibri" w:hAnsi="Arial" w:cs="Arial"/>
          <w:kern w:val="0"/>
          <w:szCs w:val="22"/>
          <w14:ligatures w14:val="none"/>
        </w:rPr>
      </w:pPr>
    </w:p>
    <w:p w14:paraId="18B7CA1A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  <w:bookmarkStart w:id="0" w:name="_Hlk518786"/>
      <w:r w:rsidRPr="00C87D57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>Székhely óvoda és a tagóvodák (a továbbiakban együtt: tagóvoda vagy tagóvodák) nyári zárva tartása</w:t>
      </w:r>
    </w:p>
    <w:p w14:paraId="5DD0F97F" w14:textId="77777777" w:rsidR="00C87D57" w:rsidRPr="00C87D57" w:rsidRDefault="00C87D57" w:rsidP="00C87D5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C87D5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2025. 06. 30 - 08. 29.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16"/>
        <w:gridCol w:w="816"/>
        <w:gridCol w:w="874"/>
        <w:gridCol w:w="816"/>
        <w:gridCol w:w="816"/>
        <w:gridCol w:w="816"/>
        <w:gridCol w:w="815"/>
        <w:gridCol w:w="815"/>
        <w:gridCol w:w="815"/>
      </w:tblGrid>
      <w:tr w:rsidR="00C87D57" w:rsidRPr="00C87D57" w14:paraId="6707A425" w14:textId="77777777" w:rsidTr="00F812FF">
        <w:tc>
          <w:tcPr>
            <w:tcW w:w="916" w:type="pct"/>
          </w:tcPr>
          <w:p w14:paraId="350063D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B03F03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Tagóvodák</w:t>
            </w:r>
          </w:p>
        </w:tc>
        <w:tc>
          <w:tcPr>
            <w:tcW w:w="450" w:type="pct"/>
          </w:tcPr>
          <w:p w14:paraId="11248E5C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06.30-07.04.</w:t>
            </w:r>
          </w:p>
        </w:tc>
        <w:tc>
          <w:tcPr>
            <w:tcW w:w="450" w:type="pct"/>
          </w:tcPr>
          <w:p w14:paraId="4276216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07.07-07.11.</w:t>
            </w:r>
          </w:p>
        </w:tc>
        <w:tc>
          <w:tcPr>
            <w:tcW w:w="482" w:type="pct"/>
          </w:tcPr>
          <w:p w14:paraId="48ED7A23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07.14.-07.18.</w:t>
            </w:r>
          </w:p>
        </w:tc>
        <w:tc>
          <w:tcPr>
            <w:tcW w:w="450" w:type="pct"/>
          </w:tcPr>
          <w:p w14:paraId="5973703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07.21-07.25.</w:t>
            </w:r>
          </w:p>
        </w:tc>
        <w:tc>
          <w:tcPr>
            <w:tcW w:w="450" w:type="pct"/>
          </w:tcPr>
          <w:p w14:paraId="3CA6116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07.28-08.01.</w:t>
            </w:r>
          </w:p>
        </w:tc>
        <w:tc>
          <w:tcPr>
            <w:tcW w:w="450" w:type="pct"/>
          </w:tcPr>
          <w:p w14:paraId="49F77C0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08.04-08.08.</w:t>
            </w:r>
          </w:p>
        </w:tc>
        <w:tc>
          <w:tcPr>
            <w:tcW w:w="450" w:type="pct"/>
          </w:tcPr>
          <w:p w14:paraId="365F0FC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08.11-08.15.</w:t>
            </w:r>
          </w:p>
        </w:tc>
        <w:tc>
          <w:tcPr>
            <w:tcW w:w="450" w:type="pct"/>
          </w:tcPr>
          <w:p w14:paraId="77ED5EAB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08.18</w:t>
            </w:r>
          </w:p>
          <w:p w14:paraId="6855BF5A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08.22.</w:t>
            </w:r>
          </w:p>
          <w:p w14:paraId="3C9ADC00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14:ligatures w14:val="none"/>
              </w:rPr>
              <w:t>(08.20 zárva)</w:t>
            </w:r>
          </w:p>
        </w:tc>
        <w:tc>
          <w:tcPr>
            <w:tcW w:w="450" w:type="pct"/>
          </w:tcPr>
          <w:p w14:paraId="1BF6D2F4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08.25-08.29.</w:t>
            </w:r>
          </w:p>
        </w:tc>
      </w:tr>
      <w:tr w:rsidR="00C87D57" w:rsidRPr="00C87D57" w14:paraId="023A0837" w14:textId="77777777" w:rsidTr="00F812FF">
        <w:tc>
          <w:tcPr>
            <w:tcW w:w="916" w:type="pct"/>
          </w:tcPr>
          <w:p w14:paraId="2B31008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11EEE44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Mór</w:t>
            </w:r>
          </w:p>
        </w:tc>
        <w:tc>
          <w:tcPr>
            <w:tcW w:w="450" w:type="pct"/>
          </w:tcPr>
          <w:p w14:paraId="14B88DC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0724BDA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278D6546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7672F695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82" w:type="pct"/>
          </w:tcPr>
          <w:p w14:paraId="336AAF43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1ED25E01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076D1CD7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7FF81ABA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6C263B5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11C07146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1EC6421B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36E2B7B6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32AE99E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F533C7C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67444DC4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4268479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35907C6C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03021707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</w:tr>
      <w:tr w:rsidR="00C87D57" w:rsidRPr="00C87D57" w14:paraId="4397954C" w14:textId="77777777" w:rsidTr="00F812FF">
        <w:tc>
          <w:tcPr>
            <w:tcW w:w="916" w:type="pct"/>
          </w:tcPr>
          <w:p w14:paraId="0759E0F5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1E17B93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Fehérvárcsurgó</w:t>
            </w:r>
          </w:p>
        </w:tc>
        <w:tc>
          <w:tcPr>
            <w:tcW w:w="450" w:type="pct"/>
          </w:tcPr>
          <w:p w14:paraId="0F2A521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659CFAF3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52542301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00CFB855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82" w:type="pct"/>
          </w:tcPr>
          <w:p w14:paraId="3BDF35A0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7D18FD0F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42B12E1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224336E7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079DF504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51CD5DAA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4E8F19F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2E44FC7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6BD57BD4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77FC5B7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274EC4C5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13DF84D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00F9278C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716ED2B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</w:tr>
      <w:tr w:rsidR="00C87D57" w:rsidRPr="00C87D57" w14:paraId="1B2D45B9" w14:textId="77777777" w:rsidTr="00F812FF">
        <w:tc>
          <w:tcPr>
            <w:tcW w:w="916" w:type="pct"/>
          </w:tcPr>
          <w:p w14:paraId="2947548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FF0000"/>
                <w:kern w:val="0"/>
                <w:sz w:val="22"/>
                <w:szCs w:val="22"/>
                <w14:ligatures w14:val="none"/>
              </w:rPr>
            </w:pPr>
          </w:p>
          <w:p w14:paraId="3083C485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Isztimér</w:t>
            </w:r>
          </w:p>
        </w:tc>
        <w:tc>
          <w:tcPr>
            <w:tcW w:w="450" w:type="pct"/>
          </w:tcPr>
          <w:p w14:paraId="4A17029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6FCB9114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6F89A2E0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0E3A59E6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82" w:type="pct"/>
          </w:tcPr>
          <w:p w14:paraId="6F977D08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21A489C1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40456FA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42DA3363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47F23A40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32B1888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5FD0B196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439A6F3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12C6A1DB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93BFF6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3DC24978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18950C4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450" w:type="pct"/>
          </w:tcPr>
          <w:p w14:paraId="6BEC56A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4C62521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  <w:p w14:paraId="208B4D9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87D57" w:rsidRPr="00C87D57" w14:paraId="3B7FC234" w14:textId="77777777" w:rsidTr="00F812FF">
        <w:tc>
          <w:tcPr>
            <w:tcW w:w="916" w:type="pct"/>
          </w:tcPr>
          <w:p w14:paraId="32D87AD6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FF0000"/>
                <w:kern w:val="0"/>
                <w:sz w:val="22"/>
                <w:szCs w:val="22"/>
                <w14:ligatures w14:val="none"/>
              </w:rPr>
            </w:pPr>
          </w:p>
          <w:p w14:paraId="35ED392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Kincsesbánya</w:t>
            </w:r>
          </w:p>
        </w:tc>
        <w:tc>
          <w:tcPr>
            <w:tcW w:w="450" w:type="pct"/>
          </w:tcPr>
          <w:p w14:paraId="68B6B66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44818050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37245B8C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08D8E593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82" w:type="pct"/>
          </w:tcPr>
          <w:p w14:paraId="03EBF878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0EA7D2B0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574A5B2A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5A98410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1E04BE62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37087897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5B06FB2A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35DE70F2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319FC2F7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59074968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07980628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6E30EB2B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  <w:p w14:paraId="65BACB20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</w:tc>
        <w:tc>
          <w:tcPr>
            <w:tcW w:w="450" w:type="pct"/>
          </w:tcPr>
          <w:p w14:paraId="4A0F8A3A" w14:textId="77777777" w:rsidR="00C87D57" w:rsidRPr="00C87D57" w:rsidRDefault="00C87D57" w:rsidP="00C87D57">
            <w:pPr>
              <w:spacing w:after="120" w:line="259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5136B9B9" w14:textId="77777777" w:rsidR="00C87D57" w:rsidRPr="00C87D57" w:rsidRDefault="00C87D57" w:rsidP="00C87D57">
            <w:pPr>
              <w:spacing w:after="120" w:line="259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</w:tr>
      <w:tr w:rsidR="00C87D57" w:rsidRPr="00C87D57" w14:paraId="0DC5DF62" w14:textId="77777777" w:rsidTr="00F812FF">
        <w:tc>
          <w:tcPr>
            <w:tcW w:w="916" w:type="pct"/>
          </w:tcPr>
          <w:p w14:paraId="2F4A101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FF0000"/>
                <w:kern w:val="0"/>
                <w:sz w:val="22"/>
                <w:szCs w:val="22"/>
                <w14:ligatures w14:val="none"/>
              </w:rPr>
            </w:pPr>
          </w:p>
          <w:p w14:paraId="475936D3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Magyaralmás</w:t>
            </w:r>
          </w:p>
        </w:tc>
        <w:tc>
          <w:tcPr>
            <w:tcW w:w="450" w:type="pct"/>
          </w:tcPr>
          <w:p w14:paraId="44991405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3FA1D5B7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3E90956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4BC0C55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82" w:type="pct"/>
          </w:tcPr>
          <w:p w14:paraId="3D609A63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3E0FAFBE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7AD5D573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786A9D47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2D209A6A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08.01-</w:t>
            </w: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től </w:t>
            </w: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56D0A475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1D41EF14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057D8C30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3C77D093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5B8967A6" w14:textId="77777777" w:rsidR="00C87D57" w:rsidRPr="00C87D57" w:rsidRDefault="00C87D57" w:rsidP="00C87D57">
            <w:pPr>
              <w:spacing w:after="120" w:line="259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415A39C0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  <w:p w14:paraId="3D664A8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0" w:type="pct"/>
          </w:tcPr>
          <w:p w14:paraId="1846C7DC" w14:textId="77777777" w:rsidR="00C87D57" w:rsidRPr="00C87D57" w:rsidRDefault="00C87D57" w:rsidP="00C87D57">
            <w:pPr>
              <w:spacing w:after="120" w:line="259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6E6E0515" w14:textId="77777777" w:rsidR="00C87D57" w:rsidRPr="00C87D57" w:rsidRDefault="00C87D57" w:rsidP="00C87D57">
            <w:pPr>
              <w:spacing w:after="12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</w:tr>
      <w:tr w:rsidR="00C87D57" w:rsidRPr="00C87D57" w14:paraId="12E13476" w14:textId="77777777" w:rsidTr="00F812FF">
        <w:tc>
          <w:tcPr>
            <w:tcW w:w="916" w:type="pct"/>
          </w:tcPr>
          <w:p w14:paraId="7B1763AD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Nagyveleg</w:t>
            </w:r>
          </w:p>
        </w:tc>
        <w:tc>
          <w:tcPr>
            <w:tcW w:w="450" w:type="pct"/>
          </w:tcPr>
          <w:p w14:paraId="4B57E313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05AF3A3B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2E59933F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3D729900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82" w:type="pct"/>
          </w:tcPr>
          <w:p w14:paraId="706468EB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5719E9FE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1832A166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9667DA6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1BEF40F8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449C20A4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349D1669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09718407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62E2B7C3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2EB0AF06" w14:textId="77777777" w:rsidR="00C87D57" w:rsidRPr="00C87D57" w:rsidRDefault="00C87D57" w:rsidP="00C87D57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50" w:type="pct"/>
          </w:tcPr>
          <w:p w14:paraId="4B374455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224551D7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50" w:type="pct"/>
          </w:tcPr>
          <w:p w14:paraId="58615A3A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29CF5AF5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</w:tr>
    </w:tbl>
    <w:p w14:paraId="64A642F8" w14:textId="77777777" w:rsid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:szCs w:val="22"/>
          <w14:ligatures w14:val="none"/>
        </w:rPr>
      </w:pPr>
    </w:p>
    <w:p w14:paraId="67B617A9" w14:textId="77777777" w:rsid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:szCs w:val="22"/>
          <w14:ligatures w14:val="none"/>
        </w:rPr>
      </w:pPr>
    </w:p>
    <w:p w14:paraId="5C5D84C7" w14:textId="77777777" w:rsid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:szCs w:val="22"/>
          <w14:ligatures w14:val="none"/>
        </w:rPr>
      </w:pPr>
    </w:p>
    <w:p w14:paraId="4835841B" w14:textId="77777777" w:rsidR="00C87D57" w:rsidRP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:szCs w:val="22"/>
          <w14:ligatures w14:val="none"/>
        </w:rPr>
      </w:pPr>
    </w:p>
    <w:bookmarkEnd w:id="0"/>
    <w:p w14:paraId="59641576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C87D57">
        <w:rPr>
          <w:rFonts w:ascii="Arial" w:eastAsia="Times New Roman" w:hAnsi="Arial" w:cs="Arial"/>
          <w:b/>
          <w:kern w:val="0"/>
          <w:lang w:eastAsia="hu-HU"/>
          <w14:ligatures w14:val="none"/>
        </w:rPr>
        <w:lastRenderedPageBreak/>
        <w:t>TAGÓVODÁK NYITVATARTÁSA</w:t>
      </w:r>
    </w:p>
    <w:p w14:paraId="6F9822E3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u w:val="single"/>
          <w:lang w:eastAsia="hu-H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7"/>
      </w:tblGrid>
      <w:tr w:rsidR="00C87D57" w:rsidRPr="00C87D57" w14:paraId="14CCD18F" w14:textId="77777777" w:rsidTr="00F812FF">
        <w:tc>
          <w:tcPr>
            <w:tcW w:w="4606" w:type="dxa"/>
          </w:tcPr>
          <w:p w14:paraId="3A7F4232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Tagóvodák</w:t>
            </w:r>
          </w:p>
        </w:tc>
        <w:tc>
          <w:tcPr>
            <w:tcW w:w="4606" w:type="dxa"/>
          </w:tcPr>
          <w:p w14:paraId="3F1B4903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87D5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Nyitvatartás</w:t>
            </w:r>
            <w:proofErr w:type="spellEnd"/>
          </w:p>
        </w:tc>
      </w:tr>
      <w:tr w:rsidR="00C87D57" w:rsidRPr="00C87D57" w14:paraId="60DBB43C" w14:textId="77777777" w:rsidTr="00F812FF">
        <w:tc>
          <w:tcPr>
            <w:tcW w:w="4606" w:type="dxa"/>
          </w:tcPr>
          <w:p w14:paraId="109009C8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Meseház Óvoda Mór</w:t>
            </w:r>
          </w:p>
        </w:tc>
        <w:tc>
          <w:tcPr>
            <w:tcW w:w="4606" w:type="dxa"/>
          </w:tcPr>
          <w:p w14:paraId="00D4054B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6.00 - 17.00</w:t>
            </w:r>
          </w:p>
        </w:tc>
      </w:tr>
      <w:tr w:rsidR="00C87D57" w:rsidRPr="00C87D57" w14:paraId="715AF3ED" w14:textId="77777777" w:rsidTr="00F812FF">
        <w:tc>
          <w:tcPr>
            <w:tcW w:w="4606" w:type="dxa"/>
          </w:tcPr>
          <w:p w14:paraId="679E3F28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Aranyalma Tagóvoda-Bölcsőde Magyaralmás</w:t>
            </w:r>
          </w:p>
        </w:tc>
        <w:tc>
          <w:tcPr>
            <w:tcW w:w="4606" w:type="dxa"/>
          </w:tcPr>
          <w:p w14:paraId="3CE9D346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6.30 - 17.00</w:t>
            </w:r>
          </w:p>
        </w:tc>
      </w:tr>
      <w:tr w:rsidR="00C87D57" w:rsidRPr="00C87D57" w14:paraId="2B55DEF8" w14:textId="77777777" w:rsidTr="00F812FF">
        <w:tc>
          <w:tcPr>
            <w:tcW w:w="4606" w:type="dxa"/>
          </w:tcPr>
          <w:p w14:paraId="494CC096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Eszterlánc Tagóvoda Fehérvárcsurgó</w:t>
            </w:r>
          </w:p>
        </w:tc>
        <w:tc>
          <w:tcPr>
            <w:tcW w:w="4606" w:type="dxa"/>
          </w:tcPr>
          <w:p w14:paraId="20850D24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6.30 - 16.30</w:t>
            </w:r>
          </w:p>
        </w:tc>
      </w:tr>
      <w:tr w:rsidR="00C87D57" w:rsidRPr="00C87D57" w14:paraId="68F757AB" w14:textId="77777777" w:rsidTr="00F812FF">
        <w:tc>
          <w:tcPr>
            <w:tcW w:w="4606" w:type="dxa"/>
          </w:tcPr>
          <w:p w14:paraId="18578F1C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Etalon Sport Tagóvoda-Bölcsőde Nagyveleg</w:t>
            </w:r>
          </w:p>
        </w:tc>
        <w:tc>
          <w:tcPr>
            <w:tcW w:w="4606" w:type="dxa"/>
          </w:tcPr>
          <w:p w14:paraId="7219F5CB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7.00 - 17.00</w:t>
            </w:r>
          </w:p>
        </w:tc>
      </w:tr>
      <w:tr w:rsidR="00C87D57" w:rsidRPr="00C87D57" w14:paraId="2606A4CE" w14:textId="77777777" w:rsidTr="00F812FF">
        <w:tc>
          <w:tcPr>
            <w:tcW w:w="4606" w:type="dxa"/>
          </w:tcPr>
          <w:p w14:paraId="73EB1CC0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Hétpettyes Tagóvoda Isztimér</w:t>
            </w:r>
          </w:p>
        </w:tc>
        <w:tc>
          <w:tcPr>
            <w:tcW w:w="4606" w:type="dxa"/>
          </w:tcPr>
          <w:p w14:paraId="1DBAE597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6.15 – 16.15  </w:t>
            </w:r>
          </w:p>
        </w:tc>
      </w:tr>
      <w:tr w:rsidR="00C87D57" w:rsidRPr="00C87D57" w14:paraId="76BAD36B" w14:textId="77777777" w:rsidTr="00F812FF">
        <w:tc>
          <w:tcPr>
            <w:tcW w:w="4606" w:type="dxa"/>
          </w:tcPr>
          <w:p w14:paraId="67ED293B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Napraforgó Tagóvoda Kincsesbánya</w:t>
            </w:r>
          </w:p>
        </w:tc>
        <w:tc>
          <w:tcPr>
            <w:tcW w:w="4606" w:type="dxa"/>
          </w:tcPr>
          <w:p w14:paraId="1053B7B2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6.15 - 16.45</w:t>
            </w:r>
          </w:p>
        </w:tc>
      </w:tr>
      <w:tr w:rsidR="00C87D57" w:rsidRPr="00C87D57" w14:paraId="1E023E5E" w14:textId="77777777" w:rsidTr="00F812FF">
        <w:tc>
          <w:tcPr>
            <w:tcW w:w="4606" w:type="dxa"/>
          </w:tcPr>
          <w:p w14:paraId="784DB311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Sörédi</w:t>
            </w:r>
            <w:proofErr w:type="spellEnd"/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Tagóvoda</w:t>
            </w:r>
          </w:p>
        </w:tc>
        <w:tc>
          <w:tcPr>
            <w:tcW w:w="4606" w:type="dxa"/>
          </w:tcPr>
          <w:p w14:paraId="57DB957A" w14:textId="77777777" w:rsidR="00C87D57" w:rsidRPr="00C87D57" w:rsidRDefault="00C87D57" w:rsidP="00C87D57">
            <w:pPr>
              <w:tabs>
                <w:tab w:val="left" w:pos="1260"/>
                <w:tab w:val="left" w:pos="1620"/>
                <w:tab w:val="left" w:pos="3060"/>
              </w:tabs>
              <w:spacing w:line="36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6.30 - 16.30</w:t>
            </w:r>
          </w:p>
        </w:tc>
      </w:tr>
    </w:tbl>
    <w:p w14:paraId="571F55D8" w14:textId="77777777" w:rsidR="00C87D57" w:rsidRPr="00C87D57" w:rsidRDefault="00C87D57" w:rsidP="00C87D57">
      <w:pPr>
        <w:spacing w:line="276" w:lineRule="auto"/>
        <w:jc w:val="both"/>
        <w:rPr>
          <w:rFonts w:ascii="Arial" w:eastAsia="Calibri" w:hAnsi="Arial" w:cs="Arial"/>
          <w:kern w:val="0"/>
          <w:szCs w:val="22"/>
          <w14:ligatures w14:val="none"/>
        </w:rPr>
      </w:pPr>
    </w:p>
    <w:p w14:paraId="682D1410" w14:textId="77777777" w:rsidR="00C87D57" w:rsidRPr="00C87D57" w:rsidRDefault="00C87D57" w:rsidP="00C87D57">
      <w:pPr>
        <w:spacing w:line="276" w:lineRule="auto"/>
        <w:jc w:val="both"/>
        <w:rPr>
          <w:rFonts w:ascii="Arial" w:eastAsia="Calibri" w:hAnsi="Arial" w:cs="Arial"/>
          <w:kern w:val="0"/>
          <w:szCs w:val="22"/>
          <w14:ligatures w14:val="none"/>
        </w:rPr>
      </w:pPr>
      <w:r w:rsidRPr="00C87D57">
        <w:rPr>
          <w:rFonts w:ascii="Arial" w:eastAsia="Calibri" w:hAnsi="Arial" w:cs="Arial"/>
          <w:kern w:val="0"/>
          <w:szCs w:val="22"/>
          <w14:ligatures w14:val="none"/>
        </w:rPr>
        <w:t xml:space="preserve">A tagóvodák a nyár folyamán ügyeleti renddel, összevont csoportokban, a szülői igényeket előzetesen felmérve üzemelnek. A helyi tagóvoda zárva tartása alatt a nyitva tartó tagóvodák igény szerint fogadják a gyermekeket. </w:t>
      </w:r>
    </w:p>
    <w:p w14:paraId="2467866D" w14:textId="77777777" w:rsidR="00C87D57" w:rsidRPr="00C87D57" w:rsidRDefault="00C87D57" w:rsidP="00C87D57">
      <w:pPr>
        <w:spacing w:line="276" w:lineRule="auto"/>
        <w:jc w:val="both"/>
        <w:rPr>
          <w:rFonts w:ascii="Arial" w:eastAsia="Calibri" w:hAnsi="Arial" w:cs="Arial"/>
          <w:kern w:val="0"/>
          <w:sz w:val="22"/>
          <w:szCs w:val="20"/>
          <w14:ligatures w14:val="none"/>
        </w:rPr>
      </w:pPr>
    </w:p>
    <w:p w14:paraId="329CCA8E" w14:textId="77777777" w:rsidR="00C87D57" w:rsidRPr="00C87D57" w:rsidRDefault="00C87D57" w:rsidP="00C87D57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  <w:r w:rsidRPr="00C87D57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>Bölcsőde intézményegységek nyári zárva tartása</w:t>
      </w:r>
    </w:p>
    <w:p w14:paraId="441383F3" w14:textId="77777777" w:rsidR="00C87D57" w:rsidRPr="00C87D57" w:rsidRDefault="00C87D57" w:rsidP="00C87D57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C87D5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2025. 06.30 – 08.29. </w:t>
      </w:r>
    </w:p>
    <w:p w14:paraId="3BB9DD5D" w14:textId="77777777" w:rsidR="00C87D57" w:rsidRPr="00C87D57" w:rsidRDefault="00C87D57" w:rsidP="00C87D57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835"/>
        <w:gridCol w:w="835"/>
        <w:gridCol w:w="896"/>
        <w:gridCol w:w="836"/>
        <w:gridCol w:w="836"/>
        <w:gridCol w:w="836"/>
        <w:gridCol w:w="836"/>
        <w:gridCol w:w="816"/>
        <w:gridCol w:w="836"/>
      </w:tblGrid>
      <w:tr w:rsidR="00C87D57" w:rsidRPr="00C87D57" w14:paraId="6ADF8A6E" w14:textId="77777777" w:rsidTr="00F812FF">
        <w:trPr>
          <w:trHeight w:val="860"/>
        </w:trPr>
        <w:tc>
          <w:tcPr>
            <w:tcW w:w="1117" w:type="pct"/>
            <w:vAlign w:val="center"/>
          </w:tcPr>
          <w:p w14:paraId="646E1BB0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C87D5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Bölcsőde intézményegységek</w:t>
            </w:r>
          </w:p>
        </w:tc>
        <w:tc>
          <w:tcPr>
            <w:tcW w:w="429" w:type="pct"/>
          </w:tcPr>
          <w:p w14:paraId="6F292625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06.30-07.04.</w:t>
            </w:r>
          </w:p>
        </w:tc>
        <w:tc>
          <w:tcPr>
            <w:tcW w:w="429" w:type="pct"/>
          </w:tcPr>
          <w:p w14:paraId="18A95946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07.07-07.11.</w:t>
            </w:r>
          </w:p>
        </w:tc>
        <w:tc>
          <w:tcPr>
            <w:tcW w:w="460" w:type="pct"/>
          </w:tcPr>
          <w:p w14:paraId="33D28169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07.14.-07.18.</w:t>
            </w:r>
          </w:p>
        </w:tc>
        <w:tc>
          <w:tcPr>
            <w:tcW w:w="429" w:type="pct"/>
          </w:tcPr>
          <w:p w14:paraId="2DBB6EB7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07.21-07.25.</w:t>
            </w:r>
          </w:p>
        </w:tc>
        <w:tc>
          <w:tcPr>
            <w:tcW w:w="429" w:type="pct"/>
          </w:tcPr>
          <w:p w14:paraId="0A932698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07.28-08.01.</w:t>
            </w:r>
          </w:p>
        </w:tc>
        <w:tc>
          <w:tcPr>
            <w:tcW w:w="429" w:type="pct"/>
          </w:tcPr>
          <w:p w14:paraId="4A3C4CF7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08.04-08.08.</w:t>
            </w:r>
          </w:p>
        </w:tc>
        <w:tc>
          <w:tcPr>
            <w:tcW w:w="429" w:type="pct"/>
          </w:tcPr>
          <w:p w14:paraId="06617EF8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08.11-08.15.</w:t>
            </w:r>
          </w:p>
        </w:tc>
        <w:tc>
          <w:tcPr>
            <w:tcW w:w="419" w:type="pct"/>
          </w:tcPr>
          <w:p w14:paraId="65509E66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08.18</w:t>
            </w:r>
          </w:p>
          <w:p w14:paraId="60D992A2" w14:textId="77777777" w:rsidR="00C87D57" w:rsidRPr="00C87D57" w:rsidRDefault="00C87D57" w:rsidP="00C87D57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08.22.</w:t>
            </w:r>
          </w:p>
          <w:p w14:paraId="15DB3A0E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14:ligatures w14:val="none"/>
              </w:rPr>
              <w:t>(08.20 zárva)</w:t>
            </w:r>
          </w:p>
        </w:tc>
        <w:tc>
          <w:tcPr>
            <w:tcW w:w="429" w:type="pct"/>
          </w:tcPr>
          <w:p w14:paraId="164EDF77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08.25-08.29.</w:t>
            </w:r>
          </w:p>
        </w:tc>
      </w:tr>
      <w:tr w:rsidR="00C87D57" w:rsidRPr="00C87D57" w14:paraId="0F08C4B8" w14:textId="77777777" w:rsidTr="00F812FF">
        <w:tc>
          <w:tcPr>
            <w:tcW w:w="1117" w:type="pct"/>
            <w:vAlign w:val="center"/>
          </w:tcPr>
          <w:p w14:paraId="1CCE92A0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Magyaralmás</w:t>
            </w:r>
          </w:p>
        </w:tc>
        <w:tc>
          <w:tcPr>
            <w:tcW w:w="429" w:type="pct"/>
          </w:tcPr>
          <w:p w14:paraId="3BDBD6EC" w14:textId="77777777" w:rsidR="00C87D57" w:rsidRPr="00C87D57" w:rsidRDefault="00C87D57" w:rsidP="00C87D57">
            <w:pPr>
              <w:spacing w:after="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7BD0EA8E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29" w:type="pct"/>
          </w:tcPr>
          <w:p w14:paraId="18C34D16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17711671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60" w:type="pct"/>
          </w:tcPr>
          <w:p w14:paraId="6876B188" w14:textId="77777777" w:rsidR="00C87D57" w:rsidRPr="00C87D57" w:rsidRDefault="00C87D57" w:rsidP="00C87D57">
            <w:pPr>
              <w:spacing w:after="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2C85AF5C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29" w:type="pct"/>
          </w:tcPr>
          <w:p w14:paraId="1FA5270E" w14:textId="77777777" w:rsidR="00C87D57" w:rsidRPr="00C87D57" w:rsidRDefault="00C87D57" w:rsidP="00C87D57">
            <w:pPr>
              <w:spacing w:after="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1DD7F444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29" w:type="pct"/>
          </w:tcPr>
          <w:p w14:paraId="00C2A6AE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08.01-</w:t>
            </w: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től </w:t>
            </w: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29" w:type="pct"/>
          </w:tcPr>
          <w:p w14:paraId="468109BF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5F5FC87E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29" w:type="pct"/>
          </w:tcPr>
          <w:p w14:paraId="789B627C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7C1E31A5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19" w:type="pct"/>
          </w:tcPr>
          <w:p w14:paraId="2D6377DC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5BFA0292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  <w:p w14:paraId="2141781A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29" w:type="pct"/>
          </w:tcPr>
          <w:p w14:paraId="67A947D9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643637D5" w14:textId="77777777" w:rsidR="00C87D57" w:rsidRPr="00C87D57" w:rsidRDefault="00C87D57" w:rsidP="00C87D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</w:tr>
      <w:tr w:rsidR="00C87D57" w:rsidRPr="00C87D57" w14:paraId="4D043A66" w14:textId="77777777" w:rsidTr="00F812FF">
        <w:trPr>
          <w:trHeight w:val="659"/>
        </w:trPr>
        <w:tc>
          <w:tcPr>
            <w:tcW w:w="1117" w:type="pct"/>
            <w:vAlign w:val="center"/>
          </w:tcPr>
          <w:p w14:paraId="5E6F6E41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Nagyveleg</w:t>
            </w:r>
          </w:p>
        </w:tc>
        <w:tc>
          <w:tcPr>
            <w:tcW w:w="429" w:type="pct"/>
          </w:tcPr>
          <w:p w14:paraId="73E5A248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4B8F88DC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29" w:type="pct"/>
          </w:tcPr>
          <w:p w14:paraId="5C823E8E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0BA6B73D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60" w:type="pct"/>
          </w:tcPr>
          <w:p w14:paraId="15D056FC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</w:pPr>
          </w:p>
          <w:p w14:paraId="74A5C162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29" w:type="pct"/>
          </w:tcPr>
          <w:p w14:paraId="15F8C384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03715CA0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29" w:type="pct"/>
          </w:tcPr>
          <w:p w14:paraId="2EFB060C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F23BC5E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29" w:type="pct"/>
          </w:tcPr>
          <w:p w14:paraId="48FE6353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23546AF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29" w:type="pct"/>
          </w:tcPr>
          <w:p w14:paraId="30E5981E" w14:textId="77777777" w:rsidR="00C87D57" w:rsidRPr="00C87D57" w:rsidRDefault="00C87D57" w:rsidP="00C87D57">
            <w:pPr>
              <w:spacing w:after="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730989FE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red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:highlight w:val="red"/>
                <w14:ligatures w14:val="none"/>
              </w:rPr>
              <w:t>zárva</w:t>
            </w:r>
          </w:p>
        </w:tc>
        <w:tc>
          <w:tcPr>
            <w:tcW w:w="419" w:type="pct"/>
          </w:tcPr>
          <w:p w14:paraId="4FFFBFF8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2174801C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  <w:tc>
          <w:tcPr>
            <w:tcW w:w="429" w:type="pct"/>
          </w:tcPr>
          <w:p w14:paraId="0D63850C" w14:textId="77777777" w:rsidR="00C87D57" w:rsidRPr="00C87D57" w:rsidRDefault="00C87D57" w:rsidP="00C87D57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3DF3CCCA" w14:textId="77777777" w:rsidR="00C87D57" w:rsidRPr="00C87D57" w:rsidRDefault="00C87D57" w:rsidP="00C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7D57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nyitva</w:t>
            </w:r>
          </w:p>
        </w:tc>
      </w:tr>
    </w:tbl>
    <w:p w14:paraId="36412CCD" w14:textId="77777777" w:rsidR="00C87D57" w:rsidRP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D6094D4" w14:textId="77777777" w:rsidR="00C87D57" w:rsidRP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D3A797B" w14:textId="77777777" w:rsidR="00C87D57" w:rsidRP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7535640" w14:textId="77777777" w:rsidR="00C87D57" w:rsidRP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C87D57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C87D57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-1975356147"/>
          <w:placeholder>
            <w:docPart w:val="EED1E0BBCDA84B06BD09B84C6244B1DC"/>
          </w:placeholder>
          <w:date w:fullDate="2025-02-1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87D57">
            <w:rPr>
              <w:rFonts w:ascii="Arial" w:eastAsia="Calibri" w:hAnsi="Arial" w:cs="Arial"/>
              <w:kern w:val="0"/>
              <w14:ligatures w14:val="none"/>
            </w:rPr>
            <w:t>2025.02.15.</w:t>
          </w:r>
        </w:sdtContent>
      </w:sdt>
    </w:p>
    <w:p w14:paraId="6320A4BF" w14:textId="77777777" w:rsidR="00C87D57" w:rsidRPr="00C87D57" w:rsidRDefault="00C87D57" w:rsidP="00C87D5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C87D57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C87D57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1332034328"/>
          <w:placeholder>
            <w:docPart w:val="7A9A7CCAA0C5434FB562ECDF434DFDDC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C87D57">
            <w:rPr>
              <w:rFonts w:ascii="Arial" w:eastAsia="Calibri" w:hAnsi="Arial" w:cs="Arial"/>
              <w:kern w:val="0"/>
              <w14:ligatures w14:val="none"/>
            </w:rPr>
            <w:t>elnök</w:t>
          </w:r>
        </w:sdtContent>
      </w:sdt>
      <w:r w:rsidRPr="00C87D57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1471932710"/>
          <w:placeholder>
            <w:docPart w:val="7A9A7CCAA0C5434FB562ECDF434DFDDC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Content>
          <w:r w:rsidRPr="00C87D57">
            <w:rPr>
              <w:rFonts w:ascii="Arial" w:eastAsia="Calibri" w:hAnsi="Arial" w:cs="Arial"/>
              <w:kern w:val="0"/>
              <w14:ligatures w14:val="none"/>
            </w:rPr>
            <w:t>Humánügyi Iroda</w:t>
          </w:r>
        </w:sdtContent>
      </w:sdt>
      <w:r w:rsidRPr="00C87D57">
        <w:rPr>
          <w:rFonts w:ascii="Arial" w:eastAsia="Calibri" w:hAnsi="Arial" w:cs="Arial"/>
          <w:kern w:val="0"/>
          <w14:ligatures w14:val="none"/>
        </w:rPr>
        <w:t>)</w:t>
      </w:r>
    </w:p>
    <w:p w14:paraId="40F6CE01" w14:textId="77777777" w:rsidR="0063234C" w:rsidRDefault="0063234C" w:rsidP="00C87D57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C87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7"/>
  </w:num>
  <w:num w:numId="3" w16cid:durableId="1569462758">
    <w:abstractNumId w:val="9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6"/>
  </w:num>
  <w:num w:numId="10" w16cid:durableId="1005280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80DDD"/>
    <w:rsid w:val="006B6C86"/>
    <w:rsid w:val="006C719E"/>
    <w:rsid w:val="00781353"/>
    <w:rsid w:val="00785F50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C157D"/>
    <w:rsid w:val="00BE7448"/>
    <w:rsid w:val="00C02AF3"/>
    <w:rsid w:val="00C87D57"/>
    <w:rsid w:val="00C965AE"/>
    <w:rsid w:val="00CA164A"/>
    <w:rsid w:val="00CB5306"/>
    <w:rsid w:val="00CC3D56"/>
    <w:rsid w:val="00CE1345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D1E0BBCDA84B06BD09B84C6244B1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E18DAB-D799-4B46-8D36-C782823F5BF2}"/>
      </w:docPartPr>
      <w:docPartBody>
        <w:p w:rsidR="009268E5" w:rsidRDefault="009268E5" w:rsidP="009268E5">
          <w:pPr>
            <w:pStyle w:val="EED1E0BBCDA84B06BD09B84C6244B1DC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7A9A7CCAA0C5434FB562ECDF434DFD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C1C9D-3371-44D0-BA1C-04BDA6E26276}"/>
      </w:docPartPr>
      <w:docPartBody>
        <w:p w:rsidR="009268E5" w:rsidRDefault="009268E5" w:rsidP="009268E5">
          <w:pPr>
            <w:pStyle w:val="7A9A7CCAA0C5434FB562ECDF434DFDDC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36"/>
    <w:rsid w:val="006C719E"/>
    <w:rsid w:val="009268E5"/>
    <w:rsid w:val="00A76368"/>
    <w:rsid w:val="00D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68E5"/>
    <w:rPr>
      <w:color w:val="808080"/>
    </w:rPr>
  </w:style>
  <w:style w:type="paragraph" w:customStyle="1" w:styleId="BEBE0F22EAD84CE1BB6C83E592AA55D8">
    <w:name w:val="BEBE0F22EAD84CE1BB6C83E592AA55D8"/>
    <w:rsid w:val="00D32636"/>
  </w:style>
  <w:style w:type="paragraph" w:customStyle="1" w:styleId="381B3919F37747D7BEAA45E995FEAA43">
    <w:name w:val="381B3919F37747D7BEAA45E995FEAA43"/>
    <w:rsid w:val="00D32636"/>
  </w:style>
  <w:style w:type="paragraph" w:customStyle="1" w:styleId="EED1E0BBCDA84B06BD09B84C6244B1DC">
    <w:name w:val="EED1E0BBCDA84B06BD09B84C6244B1DC"/>
    <w:rsid w:val="009268E5"/>
  </w:style>
  <w:style w:type="paragraph" w:customStyle="1" w:styleId="7A9A7CCAA0C5434FB562ECDF434DFDDC">
    <w:name w:val="7A9A7CCAA0C5434FB562ECDF434DFDDC"/>
    <w:rsid w:val="00926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2025-02-06T10:08:00Z</dcterms:created>
  <dcterms:modified xsi:type="dcterms:W3CDTF">2025-02-06T10:08:00Z</dcterms:modified>
</cp:coreProperties>
</file>