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9FBD" w14:textId="77777777" w:rsidR="0055267A" w:rsidRPr="0055267A" w:rsidRDefault="0055267A" w:rsidP="0055267A">
      <w:pPr>
        <w:suppressAutoHyphens/>
        <w:overflowPunct/>
        <w:autoSpaceDE/>
        <w:adjustRightInd/>
        <w:jc w:val="center"/>
        <w:rPr>
          <w:rFonts w:ascii="Arial" w:hAnsi="Arial" w:cs="Arial"/>
          <w:b/>
          <w:sz w:val="24"/>
          <w:szCs w:val="24"/>
        </w:rPr>
      </w:pPr>
      <w:r w:rsidRPr="0055267A">
        <w:rPr>
          <w:rFonts w:ascii="Arial" w:hAnsi="Arial" w:cs="Arial"/>
          <w:b/>
          <w:sz w:val="24"/>
          <w:szCs w:val="24"/>
        </w:rPr>
        <w:t>Német Nemzetiségi Önkormányzat Mór Képviselő-testületének</w:t>
      </w:r>
    </w:p>
    <w:p w14:paraId="7E6AEDEC" w14:textId="77777777" w:rsidR="0055267A" w:rsidRPr="0055267A" w:rsidRDefault="0055267A" w:rsidP="0055267A">
      <w:pPr>
        <w:suppressAutoHyphens/>
        <w:overflowPunct/>
        <w:autoSpaceDE/>
        <w:adjustRightInd/>
        <w:jc w:val="center"/>
        <w:rPr>
          <w:rFonts w:ascii="Arial" w:hAnsi="Arial" w:cs="Arial"/>
          <w:b/>
          <w:sz w:val="24"/>
          <w:szCs w:val="24"/>
        </w:rPr>
      </w:pPr>
      <w:r w:rsidRPr="0055267A">
        <w:rPr>
          <w:rFonts w:ascii="Arial" w:hAnsi="Arial" w:cs="Arial"/>
          <w:b/>
          <w:sz w:val="24"/>
          <w:szCs w:val="24"/>
        </w:rPr>
        <w:t>15/2024. (II.20.) határozata</w:t>
      </w:r>
    </w:p>
    <w:p w14:paraId="673675E3" w14:textId="77777777" w:rsidR="0055267A" w:rsidRPr="0055267A" w:rsidRDefault="0055267A" w:rsidP="0055267A">
      <w:pPr>
        <w:suppressAutoHyphens/>
        <w:overflowPunct/>
        <w:autoSpaceDE/>
        <w:adjustRightInd/>
        <w:spacing w:after="160" w:line="254" w:lineRule="auto"/>
        <w:jc w:val="center"/>
        <w:rPr>
          <w:rFonts w:ascii="Arial" w:eastAsia="Calibri" w:hAnsi="Arial" w:cs="Arial"/>
          <w:sz w:val="24"/>
          <w:szCs w:val="24"/>
        </w:rPr>
      </w:pPr>
      <w:r w:rsidRPr="0055267A">
        <w:rPr>
          <w:rFonts w:ascii="Arial" w:hAnsi="Arial"/>
          <w:b/>
          <w:sz w:val="24"/>
          <w:szCs w:val="24"/>
          <w:u w:val="single"/>
        </w:rPr>
        <w:t>a 2024. évi költségvetés tárgyában</w:t>
      </w:r>
    </w:p>
    <w:p w14:paraId="2F5568BF" w14:textId="77777777" w:rsidR="0055267A" w:rsidRPr="0055267A" w:rsidRDefault="0055267A" w:rsidP="0055267A">
      <w:pPr>
        <w:spacing w:before="360"/>
        <w:jc w:val="both"/>
        <w:rPr>
          <w:rFonts w:ascii="Arial" w:hAnsi="Arial" w:cs="Arial"/>
          <w:sz w:val="24"/>
          <w:szCs w:val="24"/>
        </w:rPr>
      </w:pPr>
      <w:r w:rsidRPr="0055267A">
        <w:rPr>
          <w:rFonts w:ascii="Arial" w:hAnsi="Arial" w:cs="Arial"/>
          <w:sz w:val="24"/>
          <w:szCs w:val="24"/>
        </w:rPr>
        <w:t>A Német Nemzetiségi Önkormányzat Mór Képviselő-testülete (továbbiakban: Nemzetiségi Önkormányzat) az államháztartásról szóló 2011. évi. CXCV. törvény 26. § (1) bekezdésében és a Nemzetiségek jogairól szóló 2011. évi CLXXIX. törvény 114. § (1) bekezdésében kapott felhatalmazás alapján a 2023. évi költségvetéséről az alábbi határozatot hozza.</w:t>
      </w:r>
    </w:p>
    <w:p w14:paraId="7AA034B6" w14:textId="77777777" w:rsidR="0055267A" w:rsidRPr="0055267A" w:rsidRDefault="0055267A" w:rsidP="0055267A">
      <w:pPr>
        <w:rPr>
          <w:rFonts w:ascii="Arial" w:hAnsi="Arial" w:cs="Arial"/>
          <w:sz w:val="24"/>
          <w:szCs w:val="24"/>
        </w:rPr>
      </w:pPr>
    </w:p>
    <w:p w14:paraId="6F131556" w14:textId="77777777" w:rsidR="0055267A" w:rsidRPr="0055267A" w:rsidRDefault="0055267A" w:rsidP="0055267A">
      <w:pPr>
        <w:rPr>
          <w:rFonts w:ascii="Arial" w:hAnsi="Arial" w:cs="Arial"/>
          <w:sz w:val="24"/>
          <w:szCs w:val="24"/>
        </w:rPr>
      </w:pPr>
      <w:r w:rsidRPr="0055267A">
        <w:rPr>
          <w:rFonts w:ascii="Arial" w:hAnsi="Arial" w:cs="Arial"/>
          <w:sz w:val="24"/>
          <w:szCs w:val="24"/>
        </w:rPr>
        <w:t>1. A határozat hatálya</w:t>
      </w:r>
    </w:p>
    <w:p w14:paraId="4A2681BF" w14:textId="77777777" w:rsidR="0055267A" w:rsidRPr="0055267A" w:rsidRDefault="0055267A" w:rsidP="0055267A">
      <w:pPr>
        <w:jc w:val="both"/>
        <w:rPr>
          <w:rFonts w:ascii="Arial" w:hAnsi="Arial" w:cs="Arial"/>
          <w:sz w:val="24"/>
          <w:szCs w:val="24"/>
        </w:rPr>
      </w:pPr>
    </w:p>
    <w:p w14:paraId="424C5FD1" w14:textId="77777777" w:rsidR="0055267A" w:rsidRPr="0055267A" w:rsidRDefault="0055267A" w:rsidP="0055267A">
      <w:pPr>
        <w:jc w:val="both"/>
        <w:rPr>
          <w:rFonts w:ascii="Arial" w:hAnsi="Arial" w:cs="Arial"/>
          <w:sz w:val="24"/>
          <w:szCs w:val="24"/>
        </w:rPr>
      </w:pPr>
      <w:r w:rsidRPr="0055267A">
        <w:rPr>
          <w:rFonts w:ascii="Arial" w:hAnsi="Arial" w:cs="Arial"/>
          <w:sz w:val="24"/>
          <w:szCs w:val="24"/>
        </w:rPr>
        <w:t>1. § A határozat hatálya a Nemzetiségi Önkormányzat képviselő-testületére terjed ki.</w:t>
      </w:r>
    </w:p>
    <w:p w14:paraId="0704B031" w14:textId="77777777" w:rsidR="0055267A" w:rsidRPr="0055267A" w:rsidRDefault="0055267A" w:rsidP="0055267A">
      <w:pPr>
        <w:rPr>
          <w:rFonts w:ascii="Arial" w:hAnsi="Arial" w:cs="Arial"/>
          <w:sz w:val="24"/>
          <w:szCs w:val="24"/>
        </w:rPr>
      </w:pPr>
    </w:p>
    <w:p w14:paraId="59E8046B" w14:textId="77777777" w:rsidR="0055267A" w:rsidRPr="0055267A" w:rsidRDefault="0055267A" w:rsidP="0055267A">
      <w:pPr>
        <w:rPr>
          <w:rFonts w:ascii="Arial" w:hAnsi="Arial" w:cs="Arial"/>
          <w:sz w:val="24"/>
          <w:szCs w:val="24"/>
        </w:rPr>
      </w:pPr>
      <w:r w:rsidRPr="0055267A">
        <w:rPr>
          <w:rFonts w:ascii="Arial" w:hAnsi="Arial" w:cs="Arial"/>
          <w:sz w:val="24"/>
          <w:szCs w:val="24"/>
        </w:rPr>
        <w:t>2. A költségvetés bevételei és kiadásai</w:t>
      </w:r>
    </w:p>
    <w:p w14:paraId="34FE54B0" w14:textId="77777777" w:rsidR="0055267A" w:rsidRPr="0055267A" w:rsidRDefault="0055267A" w:rsidP="0055267A">
      <w:pPr>
        <w:jc w:val="both"/>
        <w:rPr>
          <w:rFonts w:ascii="Arial" w:hAnsi="Arial" w:cs="Arial"/>
          <w:sz w:val="24"/>
          <w:szCs w:val="24"/>
        </w:rPr>
      </w:pPr>
    </w:p>
    <w:p w14:paraId="1C03B949" w14:textId="77777777" w:rsidR="0055267A" w:rsidRPr="0055267A" w:rsidRDefault="0055267A" w:rsidP="0055267A">
      <w:pPr>
        <w:jc w:val="both"/>
        <w:rPr>
          <w:rFonts w:ascii="Arial" w:hAnsi="Arial" w:cs="Arial"/>
          <w:sz w:val="24"/>
          <w:szCs w:val="24"/>
        </w:rPr>
      </w:pPr>
      <w:r w:rsidRPr="0055267A">
        <w:rPr>
          <w:rFonts w:ascii="Arial" w:hAnsi="Arial" w:cs="Arial"/>
          <w:sz w:val="24"/>
          <w:szCs w:val="24"/>
        </w:rPr>
        <w:t>2. § (1) A Nemzetiségi Önkormányzat képviselő-testülete a 2024. évi költségvetését</w:t>
      </w:r>
    </w:p>
    <w:tbl>
      <w:tblPr>
        <w:tblW w:w="0" w:type="auto"/>
        <w:tblInd w:w="2338" w:type="dxa"/>
        <w:tblLayout w:type="fixed"/>
        <w:tblCellMar>
          <w:left w:w="70" w:type="dxa"/>
          <w:right w:w="70" w:type="dxa"/>
        </w:tblCellMar>
        <w:tblLook w:val="0000" w:firstRow="0" w:lastRow="0" w:firstColumn="0" w:lastColumn="0" w:noHBand="0" w:noVBand="0"/>
      </w:tblPr>
      <w:tblGrid>
        <w:gridCol w:w="2552"/>
        <w:gridCol w:w="3160"/>
      </w:tblGrid>
      <w:tr w:rsidR="0055267A" w:rsidRPr="0055267A" w14:paraId="47A59C52" w14:textId="77777777" w:rsidTr="00220FA7">
        <w:tc>
          <w:tcPr>
            <w:tcW w:w="2552" w:type="dxa"/>
          </w:tcPr>
          <w:p w14:paraId="55E7D4B9" w14:textId="77777777" w:rsidR="0055267A" w:rsidRPr="0055267A" w:rsidRDefault="0055267A" w:rsidP="0055267A">
            <w:pPr>
              <w:spacing w:before="120"/>
              <w:jc w:val="right"/>
              <w:rPr>
                <w:rFonts w:ascii="Arial" w:hAnsi="Arial" w:cs="Arial"/>
                <w:sz w:val="24"/>
                <w:szCs w:val="24"/>
              </w:rPr>
            </w:pPr>
            <w:r w:rsidRPr="0055267A">
              <w:rPr>
                <w:rFonts w:ascii="Arial" w:hAnsi="Arial" w:cs="Arial"/>
                <w:sz w:val="24"/>
                <w:szCs w:val="24"/>
              </w:rPr>
              <w:t xml:space="preserve">1.110 </w:t>
            </w:r>
            <w:proofErr w:type="spellStart"/>
            <w:r w:rsidRPr="0055267A">
              <w:rPr>
                <w:rFonts w:ascii="Arial" w:hAnsi="Arial" w:cs="Arial"/>
                <w:sz w:val="24"/>
                <w:szCs w:val="24"/>
              </w:rPr>
              <w:t>eFt</w:t>
            </w:r>
            <w:proofErr w:type="spellEnd"/>
          </w:p>
        </w:tc>
        <w:tc>
          <w:tcPr>
            <w:tcW w:w="3160" w:type="dxa"/>
          </w:tcPr>
          <w:p w14:paraId="39D8A7AE"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Költségvetési bevétellel</w:t>
            </w:r>
          </w:p>
        </w:tc>
      </w:tr>
      <w:tr w:rsidR="0055267A" w:rsidRPr="0055267A" w14:paraId="45E83769" w14:textId="77777777" w:rsidTr="00220FA7">
        <w:tc>
          <w:tcPr>
            <w:tcW w:w="2552" w:type="dxa"/>
            <w:tcBorders>
              <w:bottom w:val="single" w:sz="12" w:space="0" w:color="auto"/>
            </w:tcBorders>
          </w:tcPr>
          <w:p w14:paraId="376AD506" w14:textId="77777777" w:rsidR="0055267A" w:rsidRPr="0055267A" w:rsidRDefault="0055267A" w:rsidP="0055267A">
            <w:pPr>
              <w:jc w:val="right"/>
              <w:rPr>
                <w:rFonts w:ascii="Arial" w:hAnsi="Arial" w:cs="Arial"/>
                <w:sz w:val="24"/>
                <w:szCs w:val="24"/>
              </w:rPr>
            </w:pPr>
            <w:r w:rsidRPr="0055267A">
              <w:rPr>
                <w:rFonts w:ascii="Arial" w:hAnsi="Arial" w:cs="Arial"/>
                <w:sz w:val="24"/>
                <w:szCs w:val="24"/>
              </w:rPr>
              <w:t xml:space="preserve">2.295 </w:t>
            </w:r>
            <w:proofErr w:type="spellStart"/>
            <w:r w:rsidRPr="0055267A">
              <w:rPr>
                <w:rFonts w:ascii="Arial" w:hAnsi="Arial" w:cs="Arial"/>
                <w:sz w:val="24"/>
                <w:szCs w:val="24"/>
              </w:rPr>
              <w:t>eFt</w:t>
            </w:r>
            <w:proofErr w:type="spellEnd"/>
          </w:p>
        </w:tc>
        <w:tc>
          <w:tcPr>
            <w:tcW w:w="3160" w:type="dxa"/>
            <w:tcBorders>
              <w:bottom w:val="single" w:sz="12" w:space="0" w:color="auto"/>
            </w:tcBorders>
          </w:tcPr>
          <w:p w14:paraId="187B1BDA" w14:textId="77777777" w:rsidR="0055267A" w:rsidRPr="0055267A" w:rsidRDefault="0055267A" w:rsidP="0055267A">
            <w:pPr>
              <w:jc w:val="both"/>
              <w:rPr>
                <w:rFonts w:ascii="Arial" w:hAnsi="Arial" w:cs="Arial"/>
                <w:sz w:val="24"/>
                <w:szCs w:val="24"/>
              </w:rPr>
            </w:pPr>
            <w:r w:rsidRPr="0055267A">
              <w:rPr>
                <w:rFonts w:ascii="Arial" w:hAnsi="Arial" w:cs="Arial"/>
                <w:sz w:val="24"/>
                <w:szCs w:val="24"/>
              </w:rPr>
              <w:t>Költségvetési kiadással</w:t>
            </w:r>
          </w:p>
        </w:tc>
      </w:tr>
      <w:tr w:rsidR="0055267A" w:rsidRPr="0055267A" w14:paraId="78E93A64" w14:textId="77777777" w:rsidTr="00220FA7">
        <w:tc>
          <w:tcPr>
            <w:tcW w:w="2552" w:type="dxa"/>
          </w:tcPr>
          <w:p w14:paraId="78A2A057" w14:textId="77777777" w:rsidR="0055267A" w:rsidRPr="0055267A" w:rsidRDefault="0055267A" w:rsidP="0055267A">
            <w:pPr>
              <w:jc w:val="right"/>
              <w:rPr>
                <w:rFonts w:ascii="Arial" w:hAnsi="Arial" w:cs="Arial"/>
                <w:sz w:val="24"/>
                <w:szCs w:val="24"/>
              </w:rPr>
            </w:pPr>
            <w:r w:rsidRPr="0055267A">
              <w:rPr>
                <w:rFonts w:ascii="Arial" w:hAnsi="Arial" w:cs="Arial"/>
                <w:sz w:val="24"/>
                <w:szCs w:val="24"/>
              </w:rPr>
              <w:t xml:space="preserve">- 1.185 </w:t>
            </w:r>
            <w:proofErr w:type="spellStart"/>
            <w:r w:rsidRPr="0055267A">
              <w:rPr>
                <w:rFonts w:ascii="Arial" w:hAnsi="Arial" w:cs="Arial"/>
                <w:sz w:val="24"/>
                <w:szCs w:val="24"/>
              </w:rPr>
              <w:t>eFt</w:t>
            </w:r>
            <w:proofErr w:type="spellEnd"/>
          </w:p>
        </w:tc>
        <w:tc>
          <w:tcPr>
            <w:tcW w:w="3160" w:type="dxa"/>
          </w:tcPr>
          <w:p w14:paraId="11EE2AB6" w14:textId="77777777" w:rsidR="0055267A" w:rsidRPr="0055267A" w:rsidRDefault="0055267A" w:rsidP="0055267A">
            <w:pPr>
              <w:jc w:val="both"/>
              <w:rPr>
                <w:rFonts w:ascii="Arial" w:hAnsi="Arial" w:cs="Arial"/>
                <w:sz w:val="24"/>
                <w:szCs w:val="24"/>
              </w:rPr>
            </w:pPr>
            <w:r w:rsidRPr="0055267A">
              <w:rPr>
                <w:rFonts w:ascii="Arial" w:hAnsi="Arial" w:cs="Arial"/>
                <w:sz w:val="24"/>
                <w:szCs w:val="24"/>
              </w:rPr>
              <w:t>Költségvetési egyenleggel</w:t>
            </w:r>
          </w:p>
        </w:tc>
      </w:tr>
    </w:tbl>
    <w:p w14:paraId="267209F6" w14:textId="77777777" w:rsidR="0055267A" w:rsidRPr="0055267A" w:rsidRDefault="0055267A" w:rsidP="0055267A">
      <w:pPr>
        <w:tabs>
          <w:tab w:val="left" w:pos="6945"/>
        </w:tabs>
        <w:jc w:val="both"/>
        <w:rPr>
          <w:rFonts w:ascii="Arial" w:hAnsi="Arial" w:cs="Arial"/>
          <w:sz w:val="24"/>
          <w:szCs w:val="24"/>
        </w:rPr>
      </w:pPr>
      <w:r w:rsidRPr="0055267A">
        <w:rPr>
          <w:rFonts w:ascii="Arial" w:hAnsi="Arial" w:cs="Arial"/>
          <w:sz w:val="24"/>
          <w:szCs w:val="24"/>
        </w:rPr>
        <w:t>állapítja meg.</w:t>
      </w:r>
    </w:p>
    <w:p w14:paraId="7FF4F11D"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 xml:space="preserve">(2) A költségvetési egyenlegből </w:t>
      </w:r>
    </w:p>
    <w:p w14:paraId="72D2E210" w14:textId="77777777" w:rsidR="0055267A" w:rsidRPr="0055267A" w:rsidRDefault="0055267A" w:rsidP="0055267A">
      <w:pPr>
        <w:tabs>
          <w:tab w:val="right" w:pos="7371"/>
        </w:tabs>
        <w:spacing w:before="120"/>
        <w:ind w:left="1701"/>
        <w:jc w:val="both"/>
        <w:rPr>
          <w:rFonts w:ascii="Arial" w:hAnsi="Arial" w:cs="Arial"/>
          <w:sz w:val="24"/>
          <w:szCs w:val="24"/>
        </w:rPr>
      </w:pPr>
      <w:r w:rsidRPr="0055267A">
        <w:rPr>
          <w:rFonts w:ascii="Arial" w:hAnsi="Arial" w:cs="Arial"/>
          <w:sz w:val="24"/>
          <w:szCs w:val="24"/>
        </w:rPr>
        <w:t>a) működési célú</w:t>
      </w:r>
      <w:r w:rsidRPr="0055267A">
        <w:rPr>
          <w:rFonts w:ascii="Arial" w:hAnsi="Arial" w:cs="Arial"/>
          <w:sz w:val="24"/>
          <w:szCs w:val="24"/>
        </w:rPr>
        <w:tab/>
        <w:t xml:space="preserve">- 1.185 </w:t>
      </w:r>
      <w:proofErr w:type="spellStart"/>
      <w:r w:rsidRPr="0055267A">
        <w:rPr>
          <w:rFonts w:ascii="Arial" w:hAnsi="Arial" w:cs="Arial"/>
          <w:sz w:val="24"/>
          <w:szCs w:val="24"/>
        </w:rPr>
        <w:t>eFt</w:t>
      </w:r>
      <w:proofErr w:type="spellEnd"/>
    </w:p>
    <w:p w14:paraId="1F377BD2" w14:textId="77777777" w:rsidR="0055267A" w:rsidRPr="0055267A" w:rsidRDefault="0055267A" w:rsidP="0055267A">
      <w:pPr>
        <w:tabs>
          <w:tab w:val="right" w:pos="7371"/>
        </w:tabs>
        <w:ind w:left="1701"/>
        <w:jc w:val="both"/>
        <w:rPr>
          <w:rFonts w:ascii="Arial" w:hAnsi="Arial" w:cs="Arial"/>
          <w:sz w:val="24"/>
          <w:szCs w:val="24"/>
        </w:rPr>
      </w:pPr>
      <w:r w:rsidRPr="0055267A">
        <w:rPr>
          <w:rFonts w:ascii="Arial" w:hAnsi="Arial" w:cs="Arial"/>
          <w:sz w:val="24"/>
          <w:szCs w:val="24"/>
        </w:rPr>
        <w:t>b) felhalmozási célú</w:t>
      </w:r>
      <w:r w:rsidRPr="0055267A">
        <w:rPr>
          <w:rFonts w:ascii="Arial" w:hAnsi="Arial" w:cs="Arial"/>
          <w:sz w:val="24"/>
          <w:szCs w:val="24"/>
        </w:rPr>
        <w:tab/>
        <w:t xml:space="preserve">0 </w:t>
      </w:r>
      <w:proofErr w:type="spellStart"/>
      <w:r w:rsidRPr="0055267A">
        <w:rPr>
          <w:rFonts w:ascii="Arial" w:hAnsi="Arial" w:cs="Arial"/>
          <w:sz w:val="24"/>
          <w:szCs w:val="24"/>
        </w:rPr>
        <w:t>eFt</w:t>
      </w:r>
      <w:proofErr w:type="spellEnd"/>
    </w:p>
    <w:p w14:paraId="2E95F272" w14:textId="77777777" w:rsidR="0055267A" w:rsidRPr="0055267A" w:rsidRDefault="0055267A" w:rsidP="0055267A">
      <w:pPr>
        <w:tabs>
          <w:tab w:val="right" w:pos="6804"/>
        </w:tabs>
        <w:spacing w:before="120"/>
        <w:jc w:val="both"/>
        <w:rPr>
          <w:rFonts w:ascii="Arial" w:hAnsi="Arial" w:cs="Arial"/>
          <w:sz w:val="24"/>
          <w:szCs w:val="24"/>
        </w:rPr>
      </w:pPr>
      <w:r w:rsidRPr="0055267A">
        <w:rPr>
          <w:rFonts w:ascii="Arial" w:hAnsi="Arial" w:cs="Arial"/>
          <w:sz w:val="24"/>
          <w:szCs w:val="24"/>
        </w:rPr>
        <w:t xml:space="preserve">(3) Az 1.185 </w:t>
      </w:r>
      <w:proofErr w:type="spellStart"/>
      <w:r w:rsidRPr="0055267A">
        <w:rPr>
          <w:rFonts w:ascii="Arial" w:hAnsi="Arial" w:cs="Arial"/>
          <w:sz w:val="24"/>
          <w:szCs w:val="24"/>
        </w:rPr>
        <w:t>eFt</w:t>
      </w:r>
      <w:proofErr w:type="spellEnd"/>
      <w:r w:rsidRPr="0055267A">
        <w:rPr>
          <w:rFonts w:ascii="Arial" w:hAnsi="Arial" w:cs="Arial"/>
          <w:sz w:val="24"/>
          <w:szCs w:val="24"/>
        </w:rPr>
        <w:t xml:space="preserve"> költségvetési hiány belső finanszírozására szolgáló előző évek költségvetési maradványa 1.185 </w:t>
      </w:r>
      <w:proofErr w:type="spellStart"/>
      <w:r w:rsidRPr="0055267A">
        <w:rPr>
          <w:rFonts w:ascii="Arial" w:hAnsi="Arial" w:cs="Arial"/>
          <w:sz w:val="24"/>
          <w:szCs w:val="24"/>
        </w:rPr>
        <w:t>eFt</w:t>
      </w:r>
      <w:proofErr w:type="spellEnd"/>
      <w:r w:rsidRPr="0055267A">
        <w:rPr>
          <w:rFonts w:ascii="Arial" w:hAnsi="Arial" w:cs="Arial"/>
          <w:sz w:val="24"/>
          <w:szCs w:val="24"/>
        </w:rPr>
        <w:t>.</w:t>
      </w:r>
    </w:p>
    <w:p w14:paraId="4982BA02" w14:textId="77777777" w:rsidR="0055267A" w:rsidRPr="0055267A" w:rsidRDefault="0055267A" w:rsidP="0055267A">
      <w:pPr>
        <w:tabs>
          <w:tab w:val="right" w:pos="6804"/>
        </w:tabs>
        <w:spacing w:before="120"/>
        <w:jc w:val="both"/>
        <w:rPr>
          <w:rFonts w:ascii="Arial" w:hAnsi="Arial" w:cs="Arial"/>
          <w:sz w:val="24"/>
          <w:szCs w:val="24"/>
        </w:rPr>
      </w:pPr>
      <w:r w:rsidRPr="0055267A">
        <w:rPr>
          <w:rFonts w:ascii="Arial" w:hAnsi="Arial" w:cs="Arial"/>
          <w:sz w:val="24"/>
          <w:szCs w:val="24"/>
        </w:rPr>
        <w:t>(4) A költségvetési maradványból:</w:t>
      </w:r>
    </w:p>
    <w:p w14:paraId="3726BA37" w14:textId="77777777" w:rsidR="0055267A" w:rsidRPr="0055267A" w:rsidRDefault="0055267A" w:rsidP="0055267A">
      <w:pPr>
        <w:tabs>
          <w:tab w:val="right" w:pos="7371"/>
        </w:tabs>
        <w:ind w:left="1701"/>
        <w:jc w:val="both"/>
        <w:rPr>
          <w:rFonts w:ascii="Arial" w:hAnsi="Arial" w:cs="Arial"/>
          <w:sz w:val="24"/>
          <w:szCs w:val="24"/>
        </w:rPr>
      </w:pPr>
      <w:r w:rsidRPr="0055267A">
        <w:rPr>
          <w:rFonts w:ascii="Arial" w:hAnsi="Arial" w:cs="Arial"/>
          <w:sz w:val="24"/>
          <w:szCs w:val="24"/>
        </w:rPr>
        <w:t xml:space="preserve">a) működési célú költségvetési maradvány </w:t>
      </w:r>
      <w:r w:rsidRPr="0055267A">
        <w:rPr>
          <w:rFonts w:ascii="Arial" w:hAnsi="Arial" w:cs="Arial"/>
          <w:sz w:val="24"/>
          <w:szCs w:val="24"/>
        </w:rPr>
        <w:tab/>
        <w:t xml:space="preserve">1.185 </w:t>
      </w:r>
      <w:proofErr w:type="spellStart"/>
      <w:r w:rsidRPr="0055267A">
        <w:rPr>
          <w:rFonts w:ascii="Arial" w:hAnsi="Arial" w:cs="Arial"/>
          <w:sz w:val="24"/>
          <w:szCs w:val="24"/>
        </w:rPr>
        <w:t>eFt</w:t>
      </w:r>
      <w:proofErr w:type="spellEnd"/>
    </w:p>
    <w:p w14:paraId="63C2A180" w14:textId="77777777" w:rsidR="0055267A" w:rsidRPr="0055267A" w:rsidRDefault="0055267A" w:rsidP="0055267A">
      <w:pPr>
        <w:tabs>
          <w:tab w:val="right" w:pos="7371"/>
        </w:tabs>
        <w:ind w:left="1701"/>
        <w:jc w:val="both"/>
        <w:rPr>
          <w:rFonts w:ascii="Arial" w:hAnsi="Arial" w:cs="Arial"/>
          <w:sz w:val="24"/>
          <w:szCs w:val="24"/>
        </w:rPr>
      </w:pPr>
      <w:r w:rsidRPr="0055267A">
        <w:rPr>
          <w:rFonts w:ascii="Arial" w:hAnsi="Arial" w:cs="Arial"/>
          <w:sz w:val="24"/>
          <w:szCs w:val="24"/>
        </w:rPr>
        <w:t>b) felhalmozási célú költségvetési maradvány</w:t>
      </w:r>
      <w:r w:rsidRPr="0055267A">
        <w:rPr>
          <w:rFonts w:ascii="Arial" w:hAnsi="Arial" w:cs="Arial"/>
          <w:sz w:val="24"/>
          <w:szCs w:val="24"/>
        </w:rPr>
        <w:tab/>
        <w:t xml:space="preserve">0 </w:t>
      </w:r>
      <w:proofErr w:type="spellStart"/>
      <w:r w:rsidRPr="0055267A">
        <w:rPr>
          <w:rFonts w:ascii="Arial" w:hAnsi="Arial" w:cs="Arial"/>
          <w:sz w:val="24"/>
          <w:szCs w:val="24"/>
        </w:rPr>
        <w:t>eFt</w:t>
      </w:r>
      <w:proofErr w:type="spellEnd"/>
    </w:p>
    <w:p w14:paraId="3CBA9D51"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(5) A Nemzetiségi Önkormányzat az (1) bekezdésben megállapított költségvetési bevételeket és költségvetési kiadásokat előirányzat-csoportok, azon belül kiemelt előirányzatok, kötelező feladatok, önként vállalt feladatok, állami (államigazgatási) feladatok szerinti bontásban, továbbá a finanszírozási célú műveletek bevételeit és kiadásait az 1. melléklete alapján határozza meg a képviselő-testület.</w:t>
      </w:r>
    </w:p>
    <w:p w14:paraId="5E3202E4"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(6) A képviselő-testület a Nemzetiségi Önkormányzat által közfoglalkoztatási jogviszonyban foglalkoztatottak létszám előirányzatát és az önkormányzat 2024. évben engedélyezett létszámát összesen a 2. melléklet szerint állapítja meg.</w:t>
      </w:r>
    </w:p>
    <w:p w14:paraId="3FA5D632"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(7) A Nemzetiségi Önkormányzat adósságot keletkeztető ügyletekből és kezességvállalásokból fennálló kötelezettségeit a 3. melléklet részletezi.</w:t>
      </w:r>
    </w:p>
    <w:p w14:paraId="58170F2F"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(8) A Nemzetiségi Önkormányzat saját bevételeinek részletezését az adósságot keletkeztető ügyletből származó tárgyévi fizetési kötelezettség megállapításához a 4. melléklet tartalmazza.</w:t>
      </w:r>
    </w:p>
    <w:p w14:paraId="07AE61CF"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 xml:space="preserve">(9) A képviselő-testület a Nemzetiségi Önkormányzat általános tartalékát és </w:t>
      </w:r>
      <w:proofErr w:type="spellStart"/>
      <w:r w:rsidRPr="0055267A">
        <w:rPr>
          <w:rFonts w:ascii="Arial" w:hAnsi="Arial" w:cs="Arial"/>
          <w:sz w:val="24"/>
          <w:szCs w:val="24"/>
        </w:rPr>
        <w:t>céltartalékát</w:t>
      </w:r>
      <w:proofErr w:type="spellEnd"/>
      <w:r w:rsidRPr="0055267A">
        <w:rPr>
          <w:rFonts w:ascii="Arial" w:hAnsi="Arial" w:cs="Arial"/>
          <w:sz w:val="24"/>
          <w:szCs w:val="24"/>
        </w:rPr>
        <w:t xml:space="preserve"> az 5. melléklet szerint állapítja meg.</w:t>
      </w:r>
    </w:p>
    <w:p w14:paraId="47EAEC9C"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lastRenderedPageBreak/>
        <w:t>(10) A Nemzetiségi Önkormányzat 2024. évi felhalmozási költségvetését és annak finanszírozását kiemelt előirányzatok, azon belül kormányzati funkciók szerinti feladat bontásban, elkülönítetten az európai uniós forrásból finanszírozott támogatással megvalósuló programok, projektek kiadásait, valamint az önkormányzat ilyen projekthez történő hozzájárulását a 6. melléklet részletezi.</w:t>
      </w:r>
    </w:p>
    <w:p w14:paraId="1A83EF2C" w14:textId="77777777" w:rsidR="0055267A" w:rsidRPr="0055267A" w:rsidRDefault="0055267A" w:rsidP="0055267A">
      <w:pPr>
        <w:rPr>
          <w:rFonts w:ascii="Arial" w:hAnsi="Arial" w:cs="Arial"/>
          <w:sz w:val="24"/>
          <w:szCs w:val="24"/>
        </w:rPr>
      </w:pPr>
    </w:p>
    <w:p w14:paraId="527B1DEF" w14:textId="77777777" w:rsidR="0055267A" w:rsidRPr="0055267A" w:rsidRDefault="0055267A" w:rsidP="0055267A">
      <w:pPr>
        <w:rPr>
          <w:rFonts w:ascii="Arial" w:hAnsi="Arial" w:cs="Arial"/>
          <w:sz w:val="24"/>
          <w:szCs w:val="24"/>
        </w:rPr>
      </w:pPr>
      <w:r w:rsidRPr="0055267A">
        <w:rPr>
          <w:rFonts w:ascii="Arial" w:hAnsi="Arial" w:cs="Arial"/>
          <w:sz w:val="24"/>
          <w:szCs w:val="24"/>
        </w:rPr>
        <w:t>3. A költségvetés végrehajtásának szabályai</w:t>
      </w:r>
    </w:p>
    <w:p w14:paraId="58384771" w14:textId="77777777" w:rsidR="0055267A" w:rsidRPr="0055267A" w:rsidRDefault="0055267A" w:rsidP="0055267A">
      <w:pPr>
        <w:jc w:val="both"/>
        <w:rPr>
          <w:rFonts w:ascii="Arial" w:hAnsi="Arial" w:cs="Arial"/>
          <w:sz w:val="24"/>
          <w:szCs w:val="24"/>
        </w:rPr>
      </w:pPr>
    </w:p>
    <w:p w14:paraId="0219B04B" w14:textId="77777777" w:rsidR="0055267A" w:rsidRPr="0055267A" w:rsidRDefault="0055267A" w:rsidP="0055267A">
      <w:pPr>
        <w:jc w:val="both"/>
        <w:rPr>
          <w:rFonts w:ascii="Arial" w:hAnsi="Arial" w:cs="Arial"/>
          <w:sz w:val="24"/>
          <w:szCs w:val="24"/>
        </w:rPr>
      </w:pPr>
      <w:r w:rsidRPr="0055267A">
        <w:rPr>
          <w:rFonts w:ascii="Arial" w:hAnsi="Arial" w:cs="Arial"/>
          <w:sz w:val="24"/>
          <w:szCs w:val="24"/>
        </w:rPr>
        <w:t>3. § A Nemzetiségi Önkormányzat költségvetésének végrehajtásáért az elnök, a könyvvezetéssel kapcsolatos feladatok ellátásáért az együttműködési megállapodásban rögzítettek szerint a jegyző felelős.</w:t>
      </w:r>
    </w:p>
    <w:p w14:paraId="2E8CD27D" w14:textId="77777777" w:rsidR="0055267A" w:rsidRPr="0055267A" w:rsidRDefault="0055267A" w:rsidP="0055267A">
      <w:pPr>
        <w:rPr>
          <w:rFonts w:ascii="Arial" w:hAnsi="Arial" w:cs="Arial"/>
          <w:sz w:val="24"/>
          <w:szCs w:val="24"/>
        </w:rPr>
      </w:pPr>
    </w:p>
    <w:p w14:paraId="6B73C373" w14:textId="77777777" w:rsidR="0055267A" w:rsidRPr="0055267A" w:rsidRDefault="0055267A" w:rsidP="0055267A">
      <w:pPr>
        <w:rPr>
          <w:rFonts w:ascii="Arial" w:hAnsi="Arial" w:cs="Arial"/>
          <w:sz w:val="24"/>
          <w:szCs w:val="24"/>
        </w:rPr>
      </w:pPr>
      <w:r w:rsidRPr="0055267A">
        <w:rPr>
          <w:rFonts w:ascii="Arial" w:hAnsi="Arial" w:cs="Arial"/>
          <w:sz w:val="24"/>
          <w:szCs w:val="24"/>
        </w:rPr>
        <w:t>4. Az előirányzatok módosítása</w:t>
      </w:r>
    </w:p>
    <w:p w14:paraId="531E12E7" w14:textId="77777777" w:rsidR="0055267A" w:rsidRPr="0055267A" w:rsidRDefault="0055267A" w:rsidP="0055267A">
      <w:pPr>
        <w:jc w:val="center"/>
        <w:rPr>
          <w:rFonts w:ascii="Arial" w:hAnsi="Arial" w:cs="Arial"/>
          <w:b/>
          <w:sz w:val="24"/>
          <w:szCs w:val="24"/>
        </w:rPr>
      </w:pPr>
    </w:p>
    <w:p w14:paraId="43C81922" w14:textId="77777777" w:rsidR="0055267A" w:rsidRPr="0055267A" w:rsidRDefault="0055267A" w:rsidP="0055267A">
      <w:pPr>
        <w:jc w:val="both"/>
        <w:rPr>
          <w:rFonts w:ascii="Arial" w:hAnsi="Arial" w:cs="Arial"/>
          <w:sz w:val="24"/>
          <w:szCs w:val="24"/>
        </w:rPr>
      </w:pPr>
      <w:r w:rsidRPr="0055267A">
        <w:rPr>
          <w:rFonts w:ascii="Arial" w:hAnsi="Arial" w:cs="Arial"/>
          <w:sz w:val="24"/>
          <w:szCs w:val="24"/>
        </w:rPr>
        <w:t xml:space="preserve">4. § (1) A Nemzetiségi Önkormányzat bevételeinek és kiadásainak módosításáról, a kiadási előirányzatok közötti átcsoportosításról a képviselő-testület dönthet. </w:t>
      </w:r>
    </w:p>
    <w:p w14:paraId="6E7918CC" w14:textId="77777777" w:rsidR="0055267A" w:rsidRPr="0055267A" w:rsidRDefault="0055267A" w:rsidP="0055267A">
      <w:pPr>
        <w:spacing w:before="120"/>
        <w:jc w:val="both"/>
        <w:rPr>
          <w:rFonts w:ascii="Arial" w:hAnsi="Arial" w:cs="Arial"/>
          <w:sz w:val="24"/>
          <w:szCs w:val="24"/>
        </w:rPr>
      </w:pPr>
      <w:r w:rsidRPr="0055267A">
        <w:rPr>
          <w:rFonts w:ascii="Arial" w:hAnsi="Arial" w:cs="Arial"/>
          <w:sz w:val="24"/>
          <w:szCs w:val="24"/>
        </w:rPr>
        <w:t xml:space="preserve"> (2) Amennyiben a Nemzetiségi Önkormányzat év közben a költségvetési határozat készítésekor nem ismert többletbevételhez jut, vagy bevételei a tervezettől elmaradnak, arról az elnök a képviselő-testületet tájékoztatja.</w:t>
      </w:r>
    </w:p>
    <w:p w14:paraId="36B93615" w14:textId="77777777" w:rsidR="0055267A" w:rsidRPr="0055267A" w:rsidRDefault="0055267A" w:rsidP="0055267A">
      <w:pPr>
        <w:overflowPunct/>
        <w:spacing w:before="120" w:after="120"/>
        <w:jc w:val="both"/>
        <w:textAlignment w:val="auto"/>
        <w:rPr>
          <w:rFonts w:ascii="Arial" w:hAnsi="Arial" w:cs="Arial"/>
          <w:sz w:val="24"/>
          <w:szCs w:val="24"/>
        </w:rPr>
      </w:pPr>
      <w:r w:rsidRPr="0055267A">
        <w:rPr>
          <w:rFonts w:ascii="Arial" w:hAnsi="Arial" w:cs="Arial"/>
          <w:sz w:val="24"/>
          <w:szCs w:val="24"/>
        </w:rPr>
        <w:t xml:space="preserve"> (3) A képviselő-testület – az első negyedév kivételével – negyedévenként, de legkésőbb az éves költségvetési beszámoló elkészítésének </w:t>
      </w:r>
      <w:proofErr w:type="spellStart"/>
      <w:r w:rsidRPr="0055267A">
        <w:rPr>
          <w:rFonts w:ascii="Arial" w:hAnsi="Arial" w:cs="Arial"/>
          <w:sz w:val="24"/>
          <w:szCs w:val="24"/>
        </w:rPr>
        <w:t>határidejéig</w:t>
      </w:r>
      <w:proofErr w:type="spellEnd"/>
      <w:r w:rsidRPr="0055267A">
        <w:rPr>
          <w:rFonts w:ascii="Arial" w:hAnsi="Arial" w:cs="Arial"/>
          <w:sz w:val="24"/>
          <w:szCs w:val="24"/>
        </w:rPr>
        <w:t xml:space="preserve">, december 31-ei hatállyal módosítja a költségvetési határozatát. Ha év közben az Országgyűlés a hozzájárulások, támogatások előirányzatait zárolja, azokat csökkenti, törli, az intézkedés kihirdetését követően haladéktalanul a képviselő-testület elé kell terjeszteni a költségvetési határozat módosítását. </w:t>
      </w:r>
    </w:p>
    <w:p w14:paraId="7A5C93B9" w14:textId="77777777" w:rsidR="0055267A" w:rsidRPr="0055267A" w:rsidRDefault="0055267A" w:rsidP="0055267A">
      <w:pPr>
        <w:rPr>
          <w:rFonts w:ascii="Arial" w:hAnsi="Arial" w:cs="Arial"/>
          <w:sz w:val="24"/>
          <w:szCs w:val="24"/>
        </w:rPr>
      </w:pPr>
    </w:p>
    <w:p w14:paraId="4C9C2714" w14:textId="77777777" w:rsidR="0055267A" w:rsidRPr="0055267A" w:rsidRDefault="0055267A" w:rsidP="0055267A">
      <w:pPr>
        <w:keepNext/>
        <w:outlineLvl w:val="0"/>
        <w:rPr>
          <w:rFonts w:ascii="Arial" w:hAnsi="Arial" w:cs="Arial"/>
          <w:sz w:val="24"/>
          <w:szCs w:val="24"/>
        </w:rPr>
      </w:pPr>
      <w:r w:rsidRPr="0055267A">
        <w:rPr>
          <w:rFonts w:ascii="Arial" w:hAnsi="Arial" w:cs="Arial"/>
          <w:sz w:val="24"/>
          <w:szCs w:val="24"/>
        </w:rPr>
        <w:t>5. Záró és vegyes rendelkezések</w:t>
      </w:r>
    </w:p>
    <w:p w14:paraId="1D94024F" w14:textId="77777777" w:rsidR="0055267A" w:rsidRPr="0055267A" w:rsidRDefault="0055267A" w:rsidP="0055267A">
      <w:pPr>
        <w:jc w:val="both"/>
        <w:rPr>
          <w:rFonts w:ascii="Arial" w:hAnsi="Arial" w:cs="Arial"/>
          <w:sz w:val="24"/>
          <w:szCs w:val="24"/>
        </w:rPr>
      </w:pPr>
    </w:p>
    <w:p w14:paraId="52295495" w14:textId="77777777" w:rsidR="0055267A" w:rsidRPr="0055267A" w:rsidRDefault="0055267A" w:rsidP="0055267A">
      <w:pPr>
        <w:jc w:val="both"/>
        <w:rPr>
          <w:rFonts w:ascii="Arial" w:hAnsi="Arial" w:cs="Arial"/>
          <w:sz w:val="24"/>
          <w:szCs w:val="24"/>
        </w:rPr>
      </w:pPr>
      <w:r w:rsidRPr="0055267A">
        <w:rPr>
          <w:rFonts w:ascii="Arial" w:hAnsi="Arial" w:cs="Arial"/>
          <w:sz w:val="24"/>
          <w:szCs w:val="24"/>
        </w:rPr>
        <w:t>5. § A költségvetési határozat 2024. február 21-én lép hatályba azzal, hogy rendelkezéseit 2024. január 1-től kell alkalmazni.</w:t>
      </w:r>
    </w:p>
    <w:p w14:paraId="354BE664" w14:textId="77777777" w:rsidR="00890A08" w:rsidRDefault="00890A08" w:rsidP="00890A08">
      <w:pPr>
        <w:jc w:val="both"/>
        <w:rPr>
          <w:rFonts w:ascii="Arial" w:hAnsi="Arial" w:cs="Arial"/>
          <w:sz w:val="24"/>
          <w:szCs w:val="24"/>
        </w:rPr>
      </w:pPr>
    </w:p>
    <w:p w14:paraId="3BD2563B" w14:textId="77777777" w:rsidR="00890A08" w:rsidRDefault="00890A08" w:rsidP="00890A08">
      <w:pPr>
        <w:jc w:val="both"/>
        <w:rPr>
          <w:rFonts w:ascii="Arial" w:hAnsi="Arial" w:cs="Arial"/>
          <w:sz w:val="24"/>
          <w:szCs w:val="24"/>
        </w:rPr>
      </w:pPr>
    </w:p>
    <w:p w14:paraId="0F42EF5A" w14:textId="26DF5F69" w:rsidR="00890A08" w:rsidRDefault="007B146D" w:rsidP="00890A08">
      <w:pPr>
        <w:jc w:val="both"/>
        <w:rPr>
          <w:rFonts w:ascii="Arial" w:hAnsi="Arial" w:cs="Arial"/>
          <w:sz w:val="24"/>
          <w:szCs w:val="24"/>
        </w:rPr>
      </w:pPr>
      <w:r>
        <w:rPr>
          <w:rFonts w:ascii="Arial" w:hAnsi="Arial" w:cs="Arial"/>
          <w:sz w:val="24"/>
          <w:szCs w:val="24"/>
        </w:rPr>
        <w:t xml:space="preserve">Mór, </w:t>
      </w:r>
      <w:r w:rsidR="008321C0">
        <w:rPr>
          <w:rFonts w:ascii="Arial" w:hAnsi="Arial" w:cs="Arial"/>
          <w:sz w:val="24"/>
          <w:szCs w:val="24"/>
        </w:rPr>
        <w:t>202</w:t>
      </w:r>
      <w:r w:rsidR="00FB7AFC">
        <w:rPr>
          <w:rFonts w:ascii="Arial" w:hAnsi="Arial" w:cs="Arial"/>
          <w:sz w:val="24"/>
          <w:szCs w:val="24"/>
        </w:rPr>
        <w:t>4</w:t>
      </w:r>
      <w:r w:rsidR="008321C0">
        <w:rPr>
          <w:rFonts w:ascii="Arial" w:hAnsi="Arial" w:cs="Arial"/>
          <w:sz w:val="24"/>
          <w:szCs w:val="24"/>
        </w:rPr>
        <w:t xml:space="preserve">. </w:t>
      </w:r>
      <w:r w:rsidR="003B4AD9">
        <w:rPr>
          <w:rFonts w:ascii="Arial" w:hAnsi="Arial" w:cs="Arial"/>
          <w:sz w:val="24"/>
          <w:szCs w:val="24"/>
        </w:rPr>
        <w:t>február 20.</w:t>
      </w:r>
    </w:p>
    <w:p w14:paraId="15E501FA" w14:textId="139EAF01" w:rsidR="00890A08" w:rsidRDefault="00890A08" w:rsidP="00890A08">
      <w:pPr>
        <w:jc w:val="both"/>
        <w:rPr>
          <w:rFonts w:ascii="Arial" w:hAnsi="Arial" w:cs="Arial"/>
          <w:sz w:val="24"/>
          <w:szCs w:val="24"/>
        </w:rPr>
      </w:pPr>
    </w:p>
    <w:p w14:paraId="49AC6772" w14:textId="76096617" w:rsidR="006F487A" w:rsidRDefault="006F487A" w:rsidP="00890A08">
      <w:pPr>
        <w:jc w:val="both"/>
        <w:rPr>
          <w:rFonts w:ascii="Arial" w:hAnsi="Arial" w:cs="Arial"/>
          <w:sz w:val="24"/>
          <w:szCs w:val="24"/>
        </w:rPr>
      </w:pPr>
    </w:p>
    <w:p w14:paraId="619E6CDA" w14:textId="77777777" w:rsidR="006F487A" w:rsidRDefault="006F487A" w:rsidP="00890A08">
      <w:pPr>
        <w:jc w:val="both"/>
        <w:rPr>
          <w:rFonts w:ascii="Arial" w:hAnsi="Arial" w:cs="Arial"/>
          <w:sz w:val="24"/>
          <w:szCs w:val="24"/>
        </w:rPr>
      </w:pPr>
    </w:p>
    <w:p w14:paraId="6F68E82B" w14:textId="77777777" w:rsidR="00890A08" w:rsidRDefault="00890A08" w:rsidP="00890A08">
      <w:pPr>
        <w:jc w:val="both"/>
        <w:rPr>
          <w:rFonts w:ascii="Arial" w:hAnsi="Arial" w:cs="Arial"/>
          <w:sz w:val="24"/>
          <w:szCs w:val="24"/>
        </w:rPr>
      </w:pPr>
    </w:p>
    <w:p w14:paraId="269FA838" w14:textId="1BFA1F3F" w:rsidR="00890A08" w:rsidRDefault="00890A08" w:rsidP="00890A08">
      <w:pPr>
        <w:tabs>
          <w:tab w:val="center" w:pos="6804"/>
        </w:tabs>
        <w:jc w:val="both"/>
        <w:rPr>
          <w:rFonts w:ascii="Arial" w:hAnsi="Arial" w:cs="Arial"/>
          <w:sz w:val="24"/>
          <w:szCs w:val="24"/>
        </w:rPr>
      </w:pPr>
      <w:r>
        <w:rPr>
          <w:rFonts w:ascii="Arial" w:hAnsi="Arial" w:cs="Arial"/>
          <w:sz w:val="24"/>
          <w:szCs w:val="24"/>
        </w:rPr>
        <w:tab/>
      </w:r>
      <w:r w:rsidR="002E48F5">
        <w:rPr>
          <w:rFonts w:ascii="Arial" w:hAnsi="Arial" w:cs="Arial"/>
          <w:sz w:val="24"/>
          <w:szCs w:val="24"/>
        </w:rPr>
        <w:t>Erdei Ferenc</w:t>
      </w:r>
    </w:p>
    <w:p w14:paraId="4B88D81F" w14:textId="1AD90A1E" w:rsidR="006F487A" w:rsidRPr="00783DBB" w:rsidRDefault="00890A08" w:rsidP="00C80341">
      <w:pPr>
        <w:tabs>
          <w:tab w:val="center" w:pos="6804"/>
        </w:tabs>
        <w:jc w:val="both"/>
        <w:rPr>
          <w:rFonts w:ascii="Arial" w:hAnsi="Arial" w:cs="Arial"/>
          <w:sz w:val="24"/>
          <w:szCs w:val="24"/>
        </w:rPr>
      </w:pPr>
      <w:r>
        <w:rPr>
          <w:rFonts w:ascii="Arial" w:hAnsi="Arial" w:cs="Arial"/>
          <w:sz w:val="24"/>
          <w:szCs w:val="24"/>
        </w:rPr>
        <w:tab/>
      </w:r>
      <w:r w:rsidR="00BC0650">
        <w:rPr>
          <w:rFonts w:ascii="Arial" w:hAnsi="Arial" w:cs="Arial"/>
          <w:sz w:val="24"/>
          <w:szCs w:val="24"/>
        </w:rPr>
        <w:t>e</w:t>
      </w:r>
      <w:r>
        <w:rPr>
          <w:rFonts w:ascii="Arial" w:hAnsi="Arial" w:cs="Arial"/>
          <w:sz w:val="24"/>
          <w:szCs w:val="24"/>
        </w:rPr>
        <w:t>lnök</w:t>
      </w:r>
    </w:p>
    <w:p w14:paraId="1E38063D" w14:textId="77777777" w:rsidR="00890A08" w:rsidRPr="00783DBB" w:rsidRDefault="00890A08" w:rsidP="00FB023A">
      <w:pPr>
        <w:tabs>
          <w:tab w:val="center" w:pos="6804"/>
        </w:tabs>
        <w:jc w:val="both"/>
        <w:rPr>
          <w:rFonts w:ascii="Arial" w:hAnsi="Arial" w:cs="Arial"/>
          <w:sz w:val="24"/>
          <w:szCs w:val="24"/>
        </w:rPr>
      </w:pPr>
    </w:p>
    <w:sectPr w:rsidR="00890A08" w:rsidRPr="00783DBB" w:rsidSect="00240C48">
      <w:footerReference w:type="even" r:id="rId7"/>
      <w:footerReference w:type="default" r:id="rId8"/>
      <w:type w:val="oddPage"/>
      <w:pgSz w:w="11907" w:h="16840" w:code="9"/>
      <w:pgMar w:top="1134" w:right="1701" w:bottom="1134" w:left="1418"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CBCA" w14:textId="77777777" w:rsidR="00143383" w:rsidRDefault="00143383">
      <w:r>
        <w:separator/>
      </w:r>
    </w:p>
  </w:endnote>
  <w:endnote w:type="continuationSeparator" w:id="0">
    <w:p w14:paraId="4B0084DA" w14:textId="77777777" w:rsidR="00143383" w:rsidRDefault="0014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127D" w14:textId="7D70C5CB" w:rsidR="00240C48" w:rsidRDefault="00240C48" w:rsidP="00940FEE">
    <w:pPr>
      <w:pStyle w:val="llb"/>
      <w:framePr w:wrap="around" w:vAnchor="text" w:hAnchor="margin" w:xAlign="outside" w:y="1"/>
      <w:rPr>
        <w:rStyle w:val="Oldalszm"/>
      </w:rPr>
    </w:pPr>
  </w:p>
  <w:p w14:paraId="2D3E3EB8" w14:textId="77777777" w:rsidR="00240C48" w:rsidRDefault="00240C48" w:rsidP="00B57612">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D6E7" w14:textId="253F4EC0" w:rsidR="003E278F" w:rsidRDefault="003E278F" w:rsidP="00B57612">
    <w:pPr>
      <w:pStyle w:val="llb"/>
      <w:framePr w:wrap="around" w:vAnchor="text" w:hAnchor="margin" w:xAlign="outside"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1512" w14:textId="77777777" w:rsidR="00143383" w:rsidRDefault="00143383">
      <w:r>
        <w:separator/>
      </w:r>
    </w:p>
  </w:footnote>
  <w:footnote w:type="continuationSeparator" w:id="0">
    <w:p w14:paraId="563C8654" w14:textId="77777777" w:rsidR="00143383" w:rsidRDefault="00143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607EBA"/>
    <w:lvl w:ilvl="0">
      <w:numFmt w:val="decimal"/>
      <w:lvlText w:val="*"/>
      <w:lvlJc w:val="left"/>
    </w:lvl>
  </w:abstractNum>
  <w:abstractNum w:abstractNumId="1" w15:restartNumberingAfterBreak="0">
    <w:nsid w:val="17BE0630"/>
    <w:multiLevelType w:val="hybridMultilevel"/>
    <w:tmpl w:val="3D9ABC9E"/>
    <w:lvl w:ilvl="0" w:tplc="FA868FFA">
      <w:numFmt w:val="bullet"/>
      <w:lvlText w:val="-"/>
      <w:lvlJc w:val="left"/>
      <w:pPr>
        <w:ind w:left="1155" w:hanging="79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45466C"/>
    <w:multiLevelType w:val="hybridMultilevel"/>
    <w:tmpl w:val="BB9E23BC"/>
    <w:lvl w:ilvl="0" w:tplc="840E7C66">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9D58B6"/>
    <w:multiLevelType w:val="hybridMultilevel"/>
    <w:tmpl w:val="08E82218"/>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390778B0"/>
    <w:multiLevelType w:val="hybridMultilevel"/>
    <w:tmpl w:val="98E2C21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519A3FA5"/>
    <w:multiLevelType w:val="hybridMultilevel"/>
    <w:tmpl w:val="AC782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4115005"/>
    <w:multiLevelType w:val="multilevel"/>
    <w:tmpl w:val="18C0FAD4"/>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6216DE3"/>
    <w:multiLevelType w:val="multilevel"/>
    <w:tmpl w:val="2DEC3C14"/>
    <w:lvl w:ilvl="0">
      <w:start w:val="1"/>
      <w:numFmt w:val="decimal"/>
      <w:lvlText w:val="%1./"/>
      <w:lvlJc w:val="right"/>
      <w:pPr>
        <w:ind w:left="720" w:hanging="360"/>
      </w:pPr>
      <w:rPr>
        <w:b w:val="0"/>
        <w:bCs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943304B"/>
    <w:multiLevelType w:val="singleLevel"/>
    <w:tmpl w:val="AF468C98"/>
    <w:lvl w:ilvl="0">
      <w:start w:val="1"/>
      <w:numFmt w:val="decimal"/>
      <w:lvlText w:val="%1. "/>
      <w:legacy w:legacy="1" w:legacySpace="0" w:legacyIndent="283"/>
      <w:lvlJc w:val="left"/>
      <w:pPr>
        <w:ind w:left="283" w:hanging="283"/>
      </w:pPr>
      <w:rPr>
        <w:b/>
        <w:i/>
        <w:sz w:val="24"/>
      </w:rPr>
    </w:lvl>
  </w:abstractNum>
  <w:abstractNum w:abstractNumId="9" w15:restartNumberingAfterBreak="0">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70B10BE4"/>
    <w:multiLevelType w:val="hybridMultilevel"/>
    <w:tmpl w:val="BD94545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15:restartNumberingAfterBreak="0">
    <w:nsid w:val="7B4B4CF2"/>
    <w:multiLevelType w:val="singleLevel"/>
    <w:tmpl w:val="27124E08"/>
    <w:lvl w:ilvl="0">
      <w:start w:val="4"/>
      <w:numFmt w:val="decimal"/>
      <w:lvlText w:val="(%1) "/>
      <w:legacy w:legacy="1" w:legacySpace="0" w:legacyIndent="283"/>
      <w:lvlJc w:val="left"/>
      <w:pPr>
        <w:ind w:left="283" w:hanging="283"/>
      </w:pPr>
      <w:rPr>
        <w:b w:val="0"/>
        <w:i w:val="0"/>
        <w:sz w:val="24"/>
      </w:rPr>
    </w:lvl>
  </w:abstractNum>
  <w:num w:numId="1" w16cid:durableId="1670519961">
    <w:abstractNumId w:val="11"/>
  </w:num>
  <w:num w:numId="2" w16cid:durableId="1027368823">
    <w:abstractNumId w:val="8"/>
  </w:num>
  <w:num w:numId="3" w16cid:durableId="2147042168">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4" w16cid:durableId="1842237574">
    <w:abstractNumId w:val="4"/>
  </w:num>
  <w:num w:numId="5" w16cid:durableId="19477945">
    <w:abstractNumId w:val="10"/>
  </w:num>
  <w:num w:numId="6" w16cid:durableId="1016618430">
    <w:abstractNumId w:val="2"/>
  </w:num>
  <w:num w:numId="7" w16cid:durableId="645361310">
    <w:abstractNumId w:val="3"/>
  </w:num>
  <w:num w:numId="8" w16cid:durableId="1810174386">
    <w:abstractNumId w:val="5"/>
  </w:num>
  <w:num w:numId="9" w16cid:durableId="948663352">
    <w:abstractNumId w:val="1"/>
  </w:num>
  <w:num w:numId="10" w16cid:durableId="18887129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599253">
    <w:abstractNumId w:val="6"/>
  </w:num>
  <w:num w:numId="12" w16cid:durableId="516818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96"/>
    <w:rsid w:val="00004AC4"/>
    <w:rsid w:val="00036488"/>
    <w:rsid w:val="00036ECC"/>
    <w:rsid w:val="0005178A"/>
    <w:rsid w:val="00051A61"/>
    <w:rsid w:val="000741F3"/>
    <w:rsid w:val="00076721"/>
    <w:rsid w:val="000E70CA"/>
    <w:rsid w:val="00121D80"/>
    <w:rsid w:val="0014031D"/>
    <w:rsid w:val="00143383"/>
    <w:rsid w:val="00162BFE"/>
    <w:rsid w:val="00193920"/>
    <w:rsid w:val="00195F8D"/>
    <w:rsid w:val="001B2C88"/>
    <w:rsid w:val="001B36A5"/>
    <w:rsid w:val="001B3F4D"/>
    <w:rsid w:val="001C6BE0"/>
    <w:rsid w:val="001D1159"/>
    <w:rsid w:val="001E6F38"/>
    <w:rsid w:val="00232D74"/>
    <w:rsid w:val="00240C48"/>
    <w:rsid w:val="00243D2D"/>
    <w:rsid w:val="00250D7D"/>
    <w:rsid w:val="002612C6"/>
    <w:rsid w:val="002829B4"/>
    <w:rsid w:val="0029053C"/>
    <w:rsid w:val="002B7C4F"/>
    <w:rsid w:val="002E48F5"/>
    <w:rsid w:val="003049DF"/>
    <w:rsid w:val="00305255"/>
    <w:rsid w:val="0032186C"/>
    <w:rsid w:val="00332F13"/>
    <w:rsid w:val="0033344E"/>
    <w:rsid w:val="003664A1"/>
    <w:rsid w:val="003673FA"/>
    <w:rsid w:val="003717F2"/>
    <w:rsid w:val="00373811"/>
    <w:rsid w:val="003A3BE0"/>
    <w:rsid w:val="003A6F66"/>
    <w:rsid w:val="003B4AD9"/>
    <w:rsid w:val="003D25BE"/>
    <w:rsid w:val="003D6994"/>
    <w:rsid w:val="003E278F"/>
    <w:rsid w:val="003F1D90"/>
    <w:rsid w:val="00426EC3"/>
    <w:rsid w:val="00441B35"/>
    <w:rsid w:val="004607D4"/>
    <w:rsid w:val="004638B6"/>
    <w:rsid w:val="00486998"/>
    <w:rsid w:val="004B21FA"/>
    <w:rsid w:val="004E1A2F"/>
    <w:rsid w:val="004E3D9F"/>
    <w:rsid w:val="00514355"/>
    <w:rsid w:val="005372F8"/>
    <w:rsid w:val="0055267A"/>
    <w:rsid w:val="005649A1"/>
    <w:rsid w:val="00576295"/>
    <w:rsid w:val="00577496"/>
    <w:rsid w:val="00580F6D"/>
    <w:rsid w:val="00582DBE"/>
    <w:rsid w:val="00593B40"/>
    <w:rsid w:val="005B3893"/>
    <w:rsid w:val="005E0AA5"/>
    <w:rsid w:val="00632696"/>
    <w:rsid w:val="00633850"/>
    <w:rsid w:val="00640A4A"/>
    <w:rsid w:val="00652071"/>
    <w:rsid w:val="006708A4"/>
    <w:rsid w:val="00671C18"/>
    <w:rsid w:val="006742CE"/>
    <w:rsid w:val="00676845"/>
    <w:rsid w:val="00680720"/>
    <w:rsid w:val="00680C1D"/>
    <w:rsid w:val="00684571"/>
    <w:rsid w:val="006E3B78"/>
    <w:rsid w:val="006F2AED"/>
    <w:rsid w:val="006F487A"/>
    <w:rsid w:val="00700561"/>
    <w:rsid w:val="0070794F"/>
    <w:rsid w:val="00716171"/>
    <w:rsid w:val="0072363D"/>
    <w:rsid w:val="0073451B"/>
    <w:rsid w:val="0074667B"/>
    <w:rsid w:val="00752FEF"/>
    <w:rsid w:val="007556EA"/>
    <w:rsid w:val="0075585C"/>
    <w:rsid w:val="00773F4F"/>
    <w:rsid w:val="00783DBB"/>
    <w:rsid w:val="0079694E"/>
    <w:rsid w:val="007A6DAD"/>
    <w:rsid w:val="007B146D"/>
    <w:rsid w:val="007B30BD"/>
    <w:rsid w:val="007D55E9"/>
    <w:rsid w:val="007D7DBD"/>
    <w:rsid w:val="007E063D"/>
    <w:rsid w:val="007F0532"/>
    <w:rsid w:val="00801D93"/>
    <w:rsid w:val="0081520B"/>
    <w:rsid w:val="008321C0"/>
    <w:rsid w:val="00832560"/>
    <w:rsid w:val="00840143"/>
    <w:rsid w:val="00843BCF"/>
    <w:rsid w:val="00870C50"/>
    <w:rsid w:val="00890A08"/>
    <w:rsid w:val="008937E8"/>
    <w:rsid w:val="0089783B"/>
    <w:rsid w:val="008D25EC"/>
    <w:rsid w:val="008D4588"/>
    <w:rsid w:val="008F01E3"/>
    <w:rsid w:val="008F604D"/>
    <w:rsid w:val="009034F9"/>
    <w:rsid w:val="009228AA"/>
    <w:rsid w:val="00937AAE"/>
    <w:rsid w:val="00940FEE"/>
    <w:rsid w:val="009545E1"/>
    <w:rsid w:val="00967711"/>
    <w:rsid w:val="00971B4D"/>
    <w:rsid w:val="00995A2B"/>
    <w:rsid w:val="009F2CE2"/>
    <w:rsid w:val="00A03819"/>
    <w:rsid w:val="00A37CB2"/>
    <w:rsid w:val="00A42D64"/>
    <w:rsid w:val="00A47382"/>
    <w:rsid w:val="00A50CCA"/>
    <w:rsid w:val="00A72F3B"/>
    <w:rsid w:val="00A76B94"/>
    <w:rsid w:val="00A83103"/>
    <w:rsid w:val="00A94288"/>
    <w:rsid w:val="00AA7588"/>
    <w:rsid w:val="00AC36E9"/>
    <w:rsid w:val="00AD7836"/>
    <w:rsid w:val="00AE5AF5"/>
    <w:rsid w:val="00B27AAB"/>
    <w:rsid w:val="00B30576"/>
    <w:rsid w:val="00B57612"/>
    <w:rsid w:val="00B65C73"/>
    <w:rsid w:val="00B96316"/>
    <w:rsid w:val="00BB3B29"/>
    <w:rsid w:val="00BB6F06"/>
    <w:rsid w:val="00BB7FB3"/>
    <w:rsid w:val="00BC0650"/>
    <w:rsid w:val="00BE4383"/>
    <w:rsid w:val="00BE620F"/>
    <w:rsid w:val="00BF3084"/>
    <w:rsid w:val="00C07552"/>
    <w:rsid w:val="00C22BFC"/>
    <w:rsid w:val="00C2653A"/>
    <w:rsid w:val="00C5310D"/>
    <w:rsid w:val="00C73D80"/>
    <w:rsid w:val="00C774A1"/>
    <w:rsid w:val="00C80341"/>
    <w:rsid w:val="00C93E4D"/>
    <w:rsid w:val="00CA7429"/>
    <w:rsid w:val="00CB4779"/>
    <w:rsid w:val="00D12FD4"/>
    <w:rsid w:val="00D2262B"/>
    <w:rsid w:val="00D22652"/>
    <w:rsid w:val="00D261C6"/>
    <w:rsid w:val="00D31801"/>
    <w:rsid w:val="00D323F1"/>
    <w:rsid w:val="00D46BB4"/>
    <w:rsid w:val="00D52D89"/>
    <w:rsid w:val="00D8063C"/>
    <w:rsid w:val="00D85CDE"/>
    <w:rsid w:val="00DB6F8C"/>
    <w:rsid w:val="00E32214"/>
    <w:rsid w:val="00E35373"/>
    <w:rsid w:val="00E46169"/>
    <w:rsid w:val="00E80B3B"/>
    <w:rsid w:val="00EB311A"/>
    <w:rsid w:val="00EB6254"/>
    <w:rsid w:val="00F134AF"/>
    <w:rsid w:val="00F32410"/>
    <w:rsid w:val="00F57A88"/>
    <w:rsid w:val="00F628F3"/>
    <w:rsid w:val="00F70AE6"/>
    <w:rsid w:val="00F72BAF"/>
    <w:rsid w:val="00F76BAB"/>
    <w:rsid w:val="00FB023A"/>
    <w:rsid w:val="00FB7AFC"/>
    <w:rsid w:val="00FC1DA6"/>
    <w:rsid w:val="00FD3000"/>
    <w:rsid w:val="00FE07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C7CD163"/>
  <w15:chartTrackingRefBased/>
  <w15:docId w15:val="{F8E4C45C-8562-4B12-936B-97C657DE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overflowPunct w:val="0"/>
      <w:autoSpaceDE w:val="0"/>
      <w:autoSpaceDN w:val="0"/>
      <w:adjustRightInd w:val="0"/>
      <w:textAlignment w:val="baseline"/>
    </w:pPr>
    <w:rPr>
      <w:sz w:val="28"/>
    </w:rPr>
  </w:style>
  <w:style w:type="paragraph" w:styleId="Cmsor1">
    <w:name w:val="heading 1"/>
    <w:basedOn w:val="Norml"/>
    <w:next w:val="Norml"/>
    <w:qFormat/>
    <w:pPr>
      <w:keepNext/>
      <w:jc w:val="center"/>
      <w:outlineLvl w:val="0"/>
    </w:pPr>
    <w:rPr>
      <w:b/>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Lbjegyzet-hivatkozs">
    <w:name w:val="footnote reference"/>
    <w:semiHidden/>
    <w:rPr>
      <w:vertAlign w:val="superscript"/>
    </w:rPr>
  </w:style>
  <w:style w:type="character" w:styleId="Oldalszm">
    <w:name w:val="page number"/>
    <w:basedOn w:val="Bekezdsalapbettpusa"/>
  </w:style>
  <w:style w:type="paragraph" w:styleId="Lbjegyzetszveg">
    <w:name w:val="footnote text"/>
    <w:basedOn w:val="Norml"/>
    <w:semiHidden/>
    <w:rPr>
      <w:kern w:val="16"/>
      <w:sz w:val="20"/>
    </w:rPr>
  </w:style>
  <w:style w:type="paragraph" w:styleId="llb">
    <w:name w:val="footer"/>
    <w:basedOn w:val="Norml"/>
    <w:pPr>
      <w:tabs>
        <w:tab w:val="center" w:pos="4536"/>
        <w:tab w:val="right" w:pos="9072"/>
      </w:tabs>
    </w:pPr>
    <w:rPr>
      <w:kern w:val="16"/>
    </w:rPr>
  </w:style>
  <w:style w:type="paragraph" w:styleId="Szvegtrzs">
    <w:name w:val="Body Text"/>
    <w:basedOn w:val="Norml"/>
    <w:pPr>
      <w:jc w:val="both"/>
    </w:pPr>
    <w:rPr>
      <w:sz w:val="24"/>
    </w:rPr>
  </w:style>
  <w:style w:type="paragraph" w:customStyle="1" w:styleId="Szvegtrzs21">
    <w:name w:val="Szövegtörzs 21"/>
    <w:basedOn w:val="Norml"/>
    <w:pPr>
      <w:spacing w:before="120"/>
      <w:jc w:val="center"/>
    </w:pPr>
    <w:rPr>
      <w:b/>
      <w:sz w:val="24"/>
    </w:rPr>
  </w:style>
  <w:style w:type="paragraph" w:styleId="Cm">
    <w:name w:val="Title"/>
    <w:basedOn w:val="Norml"/>
    <w:qFormat/>
    <w:pPr>
      <w:jc w:val="center"/>
    </w:pPr>
    <w:rPr>
      <w:b/>
      <w:i/>
      <w:sz w:val="24"/>
    </w:rPr>
  </w:style>
  <w:style w:type="paragraph" w:styleId="Vgjegyzetszvege">
    <w:name w:val="endnote text"/>
    <w:basedOn w:val="Norml"/>
    <w:semiHidden/>
    <w:rsid w:val="00D52D89"/>
    <w:rPr>
      <w:sz w:val="20"/>
    </w:rPr>
  </w:style>
  <w:style w:type="character" w:styleId="Vgjegyzet-hivatkozs">
    <w:name w:val="endnote reference"/>
    <w:semiHidden/>
    <w:rsid w:val="00D52D89"/>
    <w:rPr>
      <w:vertAlign w:val="superscript"/>
    </w:rPr>
  </w:style>
  <w:style w:type="paragraph" w:styleId="Buborkszveg">
    <w:name w:val="Balloon Text"/>
    <w:basedOn w:val="Norml"/>
    <w:semiHidden/>
    <w:rsid w:val="00FE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4334">
      <w:bodyDiv w:val="1"/>
      <w:marLeft w:val="0"/>
      <w:marRight w:val="0"/>
      <w:marTop w:val="0"/>
      <w:marBottom w:val="0"/>
      <w:divBdr>
        <w:top w:val="none" w:sz="0" w:space="0" w:color="auto"/>
        <w:left w:val="none" w:sz="0" w:space="0" w:color="auto"/>
        <w:bottom w:val="none" w:sz="0" w:space="0" w:color="auto"/>
        <w:right w:val="none" w:sz="0" w:space="0" w:color="auto"/>
      </w:divBdr>
    </w:div>
    <w:div w:id="14229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3498</Characters>
  <Application>Microsoft Office Word</Application>
  <DocSecurity>0</DocSecurity>
  <Lines>29</Lines>
  <Paragraphs>7</Paragraphs>
  <ScaleCrop>false</ScaleCrop>
  <HeadingPairs>
    <vt:vector size="2" baseType="variant">
      <vt:variant>
        <vt:lpstr>Cím</vt:lpstr>
      </vt:variant>
      <vt:variant>
        <vt:i4>1</vt:i4>
      </vt:variant>
    </vt:vector>
  </HeadingPairs>
  <TitlesOfParts>
    <vt:vector size="1" baseType="lpstr">
      <vt:lpstr>3</vt:lpstr>
    </vt:vector>
  </TitlesOfParts>
  <Company>Hewlett-Packard Company</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Győrffi Dezső</dc:creator>
  <cp:keywords/>
  <cp:lastModifiedBy>Kőhidi Csilla</cp:lastModifiedBy>
  <cp:revision>3</cp:revision>
  <cp:lastPrinted>2020-12-21T07:55:00Z</cp:lastPrinted>
  <dcterms:created xsi:type="dcterms:W3CDTF">2024-02-26T13:55:00Z</dcterms:created>
  <dcterms:modified xsi:type="dcterms:W3CDTF">2024-02-26T13:57:00Z</dcterms:modified>
</cp:coreProperties>
</file>