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FD5EF" w14:textId="47ED23B9" w:rsidR="00CE583C" w:rsidRPr="00CE583C" w:rsidRDefault="00CE583C" w:rsidP="00CE583C">
      <w:pPr>
        <w:tabs>
          <w:tab w:val="center" w:pos="5812"/>
        </w:tabs>
        <w:spacing w:after="0" w:line="240" w:lineRule="auto"/>
        <w:jc w:val="right"/>
        <w:rPr>
          <w:rFonts w:ascii="Arial" w:eastAsia="Calibri" w:hAnsi="Arial" w:cs="Arial"/>
          <w:sz w:val="24"/>
          <w:szCs w:val="24"/>
        </w:rPr>
      </w:pPr>
      <w:r w:rsidRPr="00CE583C">
        <w:rPr>
          <w:rFonts w:ascii="Arial" w:eastAsia="Calibri" w:hAnsi="Arial" w:cs="Arial"/>
          <w:sz w:val="24"/>
          <w:szCs w:val="24"/>
        </w:rPr>
        <w:t xml:space="preserve">1. számú melléklet a </w:t>
      </w:r>
      <w:r w:rsidR="00B637C7">
        <w:rPr>
          <w:rFonts w:ascii="Arial" w:eastAsia="Calibri" w:hAnsi="Arial" w:cs="Arial"/>
          <w:sz w:val="24"/>
          <w:szCs w:val="24"/>
        </w:rPr>
        <w:t>456</w:t>
      </w:r>
      <w:r w:rsidRPr="00CE583C">
        <w:rPr>
          <w:rFonts w:ascii="Arial" w:eastAsia="Calibri" w:hAnsi="Arial" w:cs="Arial"/>
          <w:sz w:val="24"/>
          <w:szCs w:val="24"/>
        </w:rPr>
        <w:t>/2024. (XII.11.) határozathoz</w:t>
      </w:r>
    </w:p>
    <w:p w14:paraId="36DF1781" w14:textId="77777777" w:rsidR="00CE583C" w:rsidRPr="00CE583C" w:rsidRDefault="00CE583C" w:rsidP="00CE583C">
      <w:pPr>
        <w:tabs>
          <w:tab w:val="center" w:pos="5812"/>
        </w:tabs>
        <w:spacing w:after="0" w:line="240" w:lineRule="auto"/>
        <w:jc w:val="right"/>
        <w:rPr>
          <w:rFonts w:ascii="Arial" w:eastAsia="Calibri" w:hAnsi="Arial" w:cs="Arial"/>
          <w:sz w:val="24"/>
          <w:szCs w:val="24"/>
        </w:rPr>
      </w:pPr>
    </w:p>
    <w:p w14:paraId="279575FF" w14:textId="77777777" w:rsidR="00CE583C" w:rsidRPr="00CE583C" w:rsidRDefault="00CE583C" w:rsidP="00CE583C">
      <w:pPr>
        <w:spacing w:after="200" w:line="276" w:lineRule="auto"/>
        <w:jc w:val="center"/>
        <w:rPr>
          <w:rFonts w:ascii="Times New Roman" w:eastAsia="Calibri" w:hAnsi="Times New Roman" w:cs="Times New Roman"/>
          <w:b/>
          <w:sz w:val="24"/>
          <w:szCs w:val="24"/>
        </w:rPr>
      </w:pPr>
      <w:bookmarkStart w:id="0" w:name="_Hlk184282318"/>
      <w:r w:rsidRPr="00CE583C">
        <w:rPr>
          <w:rFonts w:ascii="Times New Roman" w:eastAsia="Calibri" w:hAnsi="Times New Roman" w:cs="Times New Roman"/>
          <w:b/>
          <w:sz w:val="24"/>
          <w:szCs w:val="24"/>
        </w:rPr>
        <w:t>ÜZEMELTETÉSI MEGÁLLAPODÁS MÓDOSÍTÁSA</w:t>
      </w:r>
    </w:p>
    <w:p w14:paraId="2BDC9214" w14:textId="77777777" w:rsidR="00CE583C" w:rsidRPr="00CE583C" w:rsidRDefault="00CE583C" w:rsidP="00CE583C">
      <w:pPr>
        <w:spacing w:after="200" w:line="276" w:lineRule="auto"/>
        <w:jc w:val="center"/>
        <w:rPr>
          <w:rFonts w:ascii="Times New Roman" w:eastAsia="Calibri" w:hAnsi="Times New Roman" w:cs="Times New Roman"/>
          <w:sz w:val="23"/>
          <w:szCs w:val="23"/>
        </w:rPr>
      </w:pPr>
      <w:r w:rsidRPr="00CE583C">
        <w:rPr>
          <w:rFonts w:ascii="Times New Roman" w:eastAsia="Calibri" w:hAnsi="Times New Roman" w:cs="Times New Roman"/>
          <w:sz w:val="23"/>
          <w:szCs w:val="23"/>
        </w:rPr>
        <w:t>(Módosító megállapodás II.)</w:t>
      </w:r>
    </w:p>
    <w:p w14:paraId="47DCC5F5" w14:textId="77777777" w:rsidR="00CE583C" w:rsidRPr="00CE583C" w:rsidRDefault="00CE583C" w:rsidP="00CE583C">
      <w:pPr>
        <w:spacing w:after="0" w:line="240" w:lineRule="auto"/>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amely létrejött egyrészről</w:t>
      </w:r>
    </w:p>
    <w:p w14:paraId="7BA326C9" w14:textId="77777777" w:rsidR="00CE583C" w:rsidRPr="00CE583C" w:rsidRDefault="00CE583C" w:rsidP="00CE583C">
      <w:pPr>
        <w:spacing w:before="240" w:after="0" w:line="240" w:lineRule="auto"/>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Mór Városi Önkormányzat (székhely: 8060 Mór, Szent István tér 6. PIR. 727222, adószám: 15727220-2-07, képviseli: Fenyves Péter polgármester, a továbbiakban: Tulajdonos)</w:t>
      </w:r>
    </w:p>
    <w:p w14:paraId="3D13E49B" w14:textId="77777777" w:rsidR="00CE583C" w:rsidRPr="00CE583C" w:rsidRDefault="00CE583C" w:rsidP="00CE583C">
      <w:pPr>
        <w:spacing w:after="0" w:line="240" w:lineRule="auto"/>
        <w:jc w:val="both"/>
        <w:rPr>
          <w:rFonts w:ascii="Times New Roman" w:eastAsia="Calibri" w:hAnsi="Times New Roman" w:cs="Times New Roman"/>
          <w:sz w:val="23"/>
          <w:szCs w:val="23"/>
        </w:rPr>
      </w:pPr>
    </w:p>
    <w:p w14:paraId="3F35E440" w14:textId="77777777" w:rsidR="00CE583C" w:rsidRPr="00CE583C" w:rsidRDefault="00CE583C" w:rsidP="00CE583C">
      <w:pPr>
        <w:spacing w:after="0" w:line="240" w:lineRule="auto"/>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a MÓR-HOLDING Kft. (cégjegyzékszám: 07-09-026153, adószám: 25335299-2-07, székhely: 8060 Mór, Szent István tér 6., képviseli: Békési László, a továbbiakban: Üzemeltető) és</w:t>
      </w:r>
    </w:p>
    <w:p w14:paraId="11825234" w14:textId="77777777" w:rsidR="00CE583C" w:rsidRPr="00CE583C" w:rsidRDefault="00CE583C" w:rsidP="00CE583C">
      <w:pPr>
        <w:spacing w:after="0" w:line="240" w:lineRule="auto"/>
        <w:jc w:val="both"/>
        <w:rPr>
          <w:rFonts w:ascii="Times New Roman" w:eastAsia="Calibri" w:hAnsi="Times New Roman" w:cs="Times New Roman"/>
          <w:sz w:val="23"/>
          <w:szCs w:val="23"/>
        </w:rPr>
      </w:pPr>
    </w:p>
    <w:p w14:paraId="4F985E65" w14:textId="77777777" w:rsidR="00CE583C" w:rsidRPr="00CE583C" w:rsidRDefault="00CE583C" w:rsidP="00CE583C">
      <w:pPr>
        <w:spacing w:after="0" w:line="240" w:lineRule="auto"/>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másrészről</w:t>
      </w:r>
    </w:p>
    <w:p w14:paraId="236A29CD" w14:textId="77777777" w:rsidR="00CE583C" w:rsidRPr="00CE583C" w:rsidRDefault="00CE583C" w:rsidP="00CE583C">
      <w:pPr>
        <w:spacing w:before="240" w:after="0" w:line="240" w:lineRule="auto"/>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Fejér Vármegyei Kormányhivatal (székhely: 8000 Székesfehérvár, Szent István tér 9., PIR szám: 789291, adószám: 15789295-2-07, képviseli: dr. Tanárki Gábor főispán, a továbbiakban: Használó)</w:t>
      </w:r>
    </w:p>
    <w:p w14:paraId="3AD26089" w14:textId="77777777" w:rsidR="00CE583C" w:rsidRPr="00CE583C" w:rsidRDefault="00CE583C" w:rsidP="00CE583C">
      <w:pPr>
        <w:spacing w:after="0" w:line="240" w:lineRule="auto"/>
        <w:jc w:val="both"/>
        <w:rPr>
          <w:rFonts w:ascii="Times New Roman" w:eastAsia="Calibri" w:hAnsi="Times New Roman" w:cs="Times New Roman"/>
          <w:sz w:val="23"/>
          <w:szCs w:val="23"/>
        </w:rPr>
      </w:pPr>
    </w:p>
    <w:p w14:paraId="33CE310D" w14:textId="77777777" w:rsidR="00CE583C" w:rsidRPr="00CE583C" w:rsidRDefault="00CE583C" w:rsidP="00CE583C">
      <w:pPr>
        <w:spacing w:after="0" w:line="240" w:lineRule="auto"/>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(Tulajdonos és Használó a továbbiakban együttesen: felek, valamint felek és Üzemeltető együttesen: Felek) között alulírott napon és helyen az alábbi feltételekkel:</w:t>
      </w:r>
    </w:p>
    <w:p w14:paraId="083C8BEE" w14:textId="77777777" w:rsidR="00CE583C" w:rsidRPr="00CE583C" w:rsidRDefault="00CE583C" w:rsidP="00CE583C">
      <w:pPr>
        <w:spacing w:after="0" w:line="240" w:lineRule="auto"/>
        <w:jc w:val="both"/>
        <w:rPr>
          <w:rFonts w:ascii="Times New Roman" w:eastAsia="Calibri" w:hAnsi="Times New Roman" w:cs="Times New Roman"/>
          <w:sz w:val="23"/>
          <w:szCs w:val="23"/>
        </w:rPr>
      </w:pPr>
    </w:p>
    <w:p w14:paraId="15D0D286" w14:textId="77777777" w:rsidR="00CE583C" w:rsidRPr="00CE583C" w:rsidRDefault="00CE583C" w:rsidP="00CE583C">
      <w:pPr>
        <w:numPr>
          <w:ilvl w:val="0"/>
          <w:numId w:val="13"/>
        </w:numPr>
        <w:spacing w:before="240" w:after="240" w:line="240" w:lineRule="auto"/>
        <w:ind w:left="0" w:firstLine="0"/>
        <w:contextualSpacing/>
        <w:jc w:val="center"/>
        <w:rPr>
          <w:rFonts w:ascii="Times New Roman" w:eastAsia="Calibri" w:hAnsi="Times New Roman" w:cs="Times New Roman"/>
          <w:b/>
          <w:sz w:val="23"/>
          <w:szCs w:val="23"/>
        </w:rPr>
      </w:pPr>
      <w:r w:rsidRPr="00CE583C">
        <w:rPr>
          <w:rFonts w:ascii="Times New Roman" w:eastAsia="Calibri" w:hAnsi="Times New Roman" w:cs="Times New Roman"/>
          <w:b/>
          <w:sz w:val="23"/>
          <w:szCs w:val="23"/>
        </w:rPr>
        <w:t>Előzmények</w:t>
      </w:r>
    </w:p>
    <w:p w14:paraId="072926D7" w14:textId="77777777" w:rsidR="00CE583C" w:rsidRPr="00CE583C" w:rsidRDefault="00CE583C" w:rsidP="00CE583C">
      <w:pPr>
        <w:spacing w:before="240" w:after="240" w:line="240" w:lineRule="auto"/>
        <w:contextualSpacing/>
        <w:rPr>
          <w:rFonts w:ascii="Times New Roman" w:eastAsia="Calibri" w:hAnsi="Times New Roman" w:cs="Times New Roman"/>
          <w:bCs/>
          <w:sz w:val="23"/>
          <w:szCs w:val="23"/>
        </w:rPr>
      </w:pPr>
    </w:p>
    <w:p w14:paraId="50C3B682" w14:textId="77777777" w:rsidR="00CE583C" w:rsidRPr="00CE583C" w:rsidRDefault="00CE583C" w:rsidP="00CE583C">
      <w:pPr>
        <w:numPr>
          <w:ilvl w:val="0"/>
          <w:numId w:val="14"/>
        </w:numPr>
        <w:spacing w:after="24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A Mór 1. helyrajzi szám, illetve Mór 3. helyrajzi szám alatt felvett, természetben Mór Szent István tér 1/A és 1/B. (korábban 1. és 2. szám) szám alatti ingatlan (a továbbiakban: Ingatlan) Felek közös használatába került. Jelen pontban meghatározott ingatlan üzemeltetésére felek a MÓRHŐ Kft.-vel 2013. április 11-én FEB/5202/2013. iktatószámon és 2013. október 31-én FEB/07/2/1/2013. iktatószámon megállapodást kötöttek, mely megállapodásokat 2017. február 27-én FE/07/431-4/2017. iktatószámon megszüntettek. Ezt követően Felek 2017. február 21-én megkötötték az FE/07/431-2/2017. iktatószámú üzemeltetési megállapodást (a továbbiakban: Üzemeltetési megállapodás), melyet 2019. május 19-én FE/07/610-3/2019. iktatószámon aláírt megállapodással módosítottak (a továbbiakban: Módosító megállapodás I), majd a ténylegesen használt ingatlanrészek módosulása miatt 2023. november 13. napján aláírt FE/07/700-5/2023. iktatószámú megállapodással kiegészítettek (a továbbiakban: Kiegészítő Megállapodás II.). Jelen pontban megjelölt üzemeltetési megállapodások a folyamatos használatot biztosították és biztosítják.</w:t>
      </w:r>
    </w:p>
    <w:p w14:paraId="7F3D8019" w14:textId="77777777" w:rsidR="00CE583C" w:rsidRPr="00CE583C" w:rsidRDefault="00CE583C" w:rsidP="00CE583C">
      <w:pPr>
        <w:spacing w:after="240" w:line="240" w:lineRule="auto"/>
        <w:ind w:left="284"/>
        <w:contextualSpacing/>
        <w:jc w:val="both"/>
        <w:rPr>
          <w:rFonts w:ascii="Times New Roman" w:eastAsia="Calibri" w:hAnsi="Times New Roman" w:cs="Times New Roman"/>
          <w:sz w:val="23"/>
          <w:szCs w:val="23"/>
        </w:rPr>
      </w:pPr>
    </w:p>
    <w:p w14:paraId="75684E58" w14:textId="77777777" w:rsidR="00CE583C" w:rsidRPr="00CE583C" w:rsidRDefault="00CE583C" w:rsidP="00CE583C">
      <w:pPr>
        <w:numPr>
          <w:ilvl w:val="0"/>
          <w:numId w:val="14"/>
        </w:numPr>
        <w:spacing w:after="24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Felek egyező akarattal rögzítik, hogy a módosított Üzemeltetési Megállapodás 4.2. pontjában meghatározott, természetben Mór, Zrínyi utca 36. szám alatti, 607/1 helyrajzi számú ingatlanban lévő 43 m</w:t>
      </w:r>
      <w:r w:rsidRPr="00CE583C">
        <w:rPr>
          <w:rFonts w:ascii="Times New Roman" w:eastAsia="Calibri" w:hAnsi="Times New Roman" w:cs="Times New Roman"/>
          <w:sz w:val="23"/>
          <w:szCs w:val="23"/>
          <w:vertAlign w:val="superscript"/>
        </w:rPr>
        <w:t>2</w:t>
      </w:r>
      <w:r w:rsidRPr="00CE583C">
        <w:rPr>
          <w:rFonts w:ascii="Times New Roman" w:eastAsia="Calibri" w:hAnsi="Times New Roman" w:cs="Times New Roman"/>
          <w:sz w:val="23"/>
          <w:szCs w:val="23"/>
        </w:rPr>
        <w:t xml:space="preserve"> alapterületű helyiségcsoport használatáról Használó 2022. november 30. hatállyal lemondott, melynek következtében az a Tulajdonos használatába került 2022. december 1. napjával.</w:t>
      </w:r>
    </w:p>
    <w:p w14:paraId="3D926B33" w14:textId="77777777" w:rsidR="00CE583C" w:rsidRPr="00CE583C" w:rsidRDefault="00CE583C" w:rsidP="00CE583C">
      <w:pPr>
        <w:spacing w:after="240" w:line="240" w:lineRule="auto"/>
        <w:contextualSpacing/>
        <w:jc w:val="both"/>
        <w:rPr>
          <w:rFonts w:ascii="Times New Roman" w:eastAsia="Calibri" w:hAnsi="Times New Roman" w:cs="Times New Roman"/>
          <w:sz w:val="23"/>
          <w:szCs w:val="23"/>
        </w:rPr>
      </w:pPr>
    </w:p>
    <w:p w14:paraId="3527464A" w14:textId="77777777" w:rsidR="00CE583C" w:rsidRPr="00CE583C" w:rsidRDefault="00CE583C" w:rsidP="00CE583C">
      <w:pPr>
        <w:numPr>
          <w:ilvl w:val="0"/>
          <w:numId w:val="14"/>
        </w:numPr>
        <w:spacing w:after="24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Felek kijelentik, hogy jelen Módosító megállapodás megkötését Üzemeltető azért kezdeményezte, mert a jelen Módosító megállapodás 1. pontjában meghatározott Ingatlan vonatkozásában 2023. november 16. napján az Üzemeltető részére a Tulajdonos által kizárólagosan használt ingatlanrész (Magyar Posta területe) vonatkozásában gázfogyasztást mérő almérő került felszerelésre.</w:t>
      </w:r>
    </w:p>
    <w:p w14:paraId="3EC058A7" w14:textId="77777777" w:rsidR="00CE583C" w:rsidRPr="00CE583C" w:rsidRDefault="00CE583C" w:rsidP="00CE583C">
      <w:pPr>
        <w:spacing w:after="240" w:line="240" w:lineRule="auto"/>
        <w:contextualSpacing/>
        <w:jc w:val="both"/>
        <w:rPr>
          <w:rFonts w:ascii="Times New Roman" w:eastAsia="Calibri" w:hAnsi="Times New Roman" w:cs="Times New Roman"/>
          <w:sz w:val="23"/>
          <w:szCs w:val="23"/>
        </w:rPr>
      </w:pPr>
    </w:p>
    <w:p w14:paraId="7415DB5A" w14:textId="77777777" w:rsidR="00CE583C" w:rsidRPr="00CE583C" w:rsidRDefault="00CE583C" w:rsidP="00CE583C">
      <w:pPr>
        <w:numPr>
          <w:ilvl w:val="0"/>
          <w:numId w:val="13"/>
        </w:numPr>
        <w:spacing w:after="240" w:line="240" w:lineRule="auto"/>
        <w:ind w:left="0" w:firstLine="0"/>
        <w:contextualSpacing/>
        <w:jc w:val="center"/>
        <w:rPr>
          <w:rFonts w:ascii="Times New Roman" w:eastAsia="Calibri" w:hAnsi="Times New Roman" w:cs="Times New Roman"/>
          <w:b/>
          <w:sz w:val="23"/>
          <w:szCs w:val="23"/>
        </w:rPr>
      </w:pPr>
      <w:r w:rsidRPr="00CE583C">
        <w:rPr>
          <w:rFonts w:ascii="Times New Roman" w:eastAsia="Calibri" w:hAnsi="Times New Roman" w:cs="Times New Roman"/>
          <w:b/>
          <w:sz w:val="23"/>
          <w:szCs w:val="23"/>
        </w:rPr>
        <w:t>Módosítással érintett rendelkezések</w:t>
      </w:r>
    </w:p>
    <w:p w14:paraId="058CFFFD" w14:textId="77777777" w:rsidR="00CE583C" w:rsidRPr="00CE583C" w:rsidRDefault="00CE583C" w:rsidP="00CE583C">
      <w:pPr>
        <w:spacing w:after="240" w:line="240" w:lineRule="auto"/>
        <w:contextualSpacing/>
        <w:rPr>
          <w:rFonts w:ascii="Times New Roman" w:eastAsia="Calibri" w:hAnsi="Times New Roman" w:cs="Times New Roman"/>
          <w:bCs/>
          <w:sz w:val="23"/>
          <w:szCs w:val="23"/>
        </w:rPr>
      </w:pPr>
    </w:p>
    <w:p w14:paraId="0D453CCB" w14:textId="77777777" w:rsidR="00CE583C" w:rsidRPr="00CE583C" w:rsidRDefault="00CE583C" w:rsidP="00CE583C">
      <w:pPr>
        <w:numPr>
          <w:ilvl w:val="0"/>
          <w:numId w:val="14"/>
        </w:numPr>
        <w:spacing w:after="240" w:line="240" w:lineRule="auto"/>
        <w:ind w:left="284" w:hanging="284"/>
        <w:contextualSpacing/>
        <w:jc w:val="both"/>
        <w:rPr>
          <w:rFonts w:ascii="Times New Roman" w:eastAsia="Calibri" w:hAnsi="Times New Roman" w:cs="Times New Roman"/>
          <w:b/>
          <w:sz w:val="23"/>
          <w:szCs w:val="23"/>
        </w:rPr>
      </w:pPr>
      <w:r w:rsidRPr="00CE583C">
        <w:rPr>
          <w:rFonts w:ascii="Times New Roman" w:eastAsia="Calibri" w:hAnsi="Times New Roman" w:cs="Times New Roman"/>
          <w:sz w:val="23"/>
          <w:szCs w:val="23"/>
        </w:rPr>
        <w:lastRenderedPageBreak/>
        <w:t xml:space="preserve">Az Üzemeltetési megállapodás Módosító megállapodás I.-gyel módosított 8.11 </w:t>
      </w:r>
      <w:r w:rsidRPr="00CE583C">
        <w:rPr>
          <w:rFonts w:ascii="Times New Roman" w:eastAsia="Calibri" w:hAnsi="Times New Roman" w:cs="Times New Roman"/>
          <w:b/>
          <w:sz w:val="23"/>
          <w:szCs w:val="23"/>
        </w:rPr>
        <w:t>Közüzemi díjak</w:t>
      </w:r>
      <w:r w:rsidRPr="00CE583C">
        <w:rPr>
          <w:rFonts w:ascii="Times New Roman" w:eastAsia="Calibri" w:hAnsi="Times New Roman" w:cs="Times New Roman"/>
          <w:sz w:val="23"/>
          <w:szCs w:val="23"/>
        </w:rPr>
        <w:t xml:space="preserve"> elnevezésű pontjának negyedik (4.) albekezdése – jelen megállapodás 2. pontjára figyelemmel – hatályát veszti.</w:t>
      </w:r>
    </w:p>
    <w:p w14:paraId="3439EDD8" w14:textId="77777777" w:rsidR="00CE583C" w:rsidRPr="00CE583C" w:rsidRDefault="00CE583C" w:rsidP="00CE583C">
      <w:pPr>
        <w:spacing w:after="240" w:line="240" w:lineRule="auto"/>
        <w:ind w:left="284"/>
        <w:contextualSpacing/>
        <w:jc w:val="both"/>
        <w:rPr>
          <w:rFonts w:ascii="Times New Roman" w:eastAsia="Calibri" w:hAnsi="Times New Roman" w:cs="Times New Roman"/>
          <w:b/>
          <w:sz w:val="23"/>
          <w:szCs w:val="23"/>
        </w:rPr>
      </w:pPr>
    </w:p>
    <w:p w14:paraId="2D6656DB" w14:textId="77777777" w:rsidR="00CE583C" w:rsidRPr="00CE583C" w:rsidRDefault="00CE583C" w:rsidP="00CE583C">
      <w:pPr>
        <w:numPr>
          <w:ilvl w:val="0"/>
          <w:numId w:val="14"/>
        </w:numPr>
        <w:spacing w:after="24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 xml:space="preserve">Az Üzemeltetési megállapodás korábban módosított 8.1.1. </w:t>
      </w:r>
      <w:r w:rsidRPr="00CE583C">
        <w:rPr>
          <w:rFonts w:ascii="Times New Roman" w:eastAsia="Calibri" w:hAnsi="Times New Roman" w:cs="Times New Roman"/>
          <w:b/>
          <w:sz w:val="23"/>
          <w:szCs w:val="23"/>
        </w:rPr>
        <w:t xml:space="preserve">Közüzemi díjak </w:t>
      </w:r>
      <w:r w:rsidRPr="00CE583C">
        <w:rPr>
          <w:rFonts w:ascii="Times New Roman" w:eastAsia="Calibri" w:hAnsi="Times New Roman" w:cs="Times New Roman"/>
          <w:sz w:val="23"/>
          <w:szCs w:val="23"/>
        </w:rPr>
        <w:t>elnevezésű pontjának „Villamos energia szolgáltatás, gázenergia szolgáltatás" elnevezésű alpontjának helyébe az alábbi rendelkezés lép.</w:t>
      </w:r>
    </w:p>
    <w:p w14:paraId="4A1ECBCD" w14:textId="77777777" w:rsidR="00CE583C" w:rsidRPr="00CE583C" w:rsidRDefault="00CE583C" w:rsidP="00CE583C">
      <w:pPr>
        <w:spacing w:after="240" w:line="240" w:lineRule="auto"/>
        <w:contextualSpacing/>
        <w:jc w:val="both"/>
        <w:rPr>
          <w:rFonts w:ascii="Times New Roman" w:eastAsia="Calibri" w:hAnsi="Times New Roman" w:cs="Times New Roman"/>
          <w:sz w:val="23"/>
          <w:szCs w:val="23"/>
        </w:rPr>
      </w:pPr>
    </w:p>
    <w:p w14:paraId="1A7D52D0" w14:textId="77777777" w:rsidR="00CE583C" w:rsidRPr="00CE583C" w:rsidRDefault="00CE583C" w:rsidP="00CE583C">
      <w:pPr>
        <w:spacing w:before="480" w:after="120" w:line="240" w:lineRule="auto"/>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„A 4.1. pontban megjelölt ingatlanok vonatkozásában:</w:t>
      </w:r>
    </w:p>
    <w:p w14:paraId="54DEB926" w14:textId="77777777" w:rsidR="00CE583C" w:rsidRPr="00CE583C" w:rsidRDefault="00CE583C" w:rsidP="00CE583C">
      <w:pPr>
        <w:spacing w:before="480" w:after="120" w:line="240" w:lineRule="auto"/>
        <w:contextualSpacing/>
        <w:jc w:val="both"/>
        <w:rPr>
          <w:rFonts w:ascii="Times New Roman" w:eastAsia="Calibri" w:hAnsi="Times New Roman" w:cs="Times New Roman"/>
          <w:sz w:val="23"/>
          <w:szCs w:val="23"/>
        </w:rPr>
      </w:pPr>
    </w:p>
    <w:p w14:paraId="7F71BA7F" w14:textId="77777777" w:rsidR="00CE583C" w:rsidRPr="00CE583C" w:rsidRDefault="00CE583C" w:rsidP="00CE583C">
      <w:pPr>
        <w:spacing w:after="120" w:line="240" w:lineRule="auto"/>
        <w:contextualSpacing/>
        <w:jc w:val="both"/>
        <w:rPr>
          <w:rFonts w:ascii="Times New Roman" w:eastAsia="Calibri" w:hAnsi="Times New Roman" w:cs="Times New Roman"/>
          <w:b/>
          <w:sz w:val="23"/>
          <w:szCs w:val="23"/>
          <w:u w:val="single"/>
        </w:rPr>
      </w:pPr>
      <w:r w:rsidRPr="00CE583C">
        <w:rPr>
          <w:rFonts w:ascii="Times New Roman" w:eastAsia="Calibri" w:hAnsi="Times New Roman" w:cs="Times New Roman"/>
          <w:b/>
          <w:sz w:val="23"/>
          <w:szCs w:val="23"/>
          <w:u w:val="single"/>
        </w:rPr>
        <w:t>Villamos energia felhasználás elszámolása:</w:t>
      </w:r>
    </w:p>
    <w:p w14:paraId="490C9638" w14:textId="77777777" w:rsidR="00CE583C" w:rsidRPr="00CE583C" w:rsidRDefault="00CE583C" w:rsidP="00CE583C">
      <w:pPr>
        <w:spacing w:after="0" w:line="240" w:lineRule="auto"/>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Felek megállapítják, hogy az Ingatlan egy önálló villamos-energia főmérővel rendelkezik, az egyes elkülönült szervezetei/szervezeti egységei önálló villamos-energia almérővel rendelkeznek.</w:t>
      </w:r>
    </w:p>
    <w:p w14:paraId="02EBB465" w14:textId="77777777" w:rsidR="00CE583C" w:rsidRPr="00CE583C" w:rsidRDefault="00CE583C" w:rsidP="00CE583C">
      <w:pPr>
        <w:spacing w:after="0" w:line="240" w:lineRule="auto"/>
        <w:jc w:val="both"/>
        <w:rPr>
          <w:rFonts w:ascii="Times New Roman" w:eastAsia="Calibri" w:hAnsi="Times New Roman" w:cs="Times New Roman"/>
          <w:bCs/>
          <w:sz w:val="23"/>
          <w:szCs w:val="23"/>
        </w:rPr>
      </w:pPr>
      <w:r w:rsidRPr="00CE583C">
        <w:rPr>
          <w:rFonts w:ascii="Times New Roman" w:eastAsia="Calibri" w:hAnsi="Times New Roman" w:cs="Times New Roman"/>
          <w:bCs/>
          <w:sz w:val="23"/>
          <w:szCs w:val="23"/>
        </w:rPr>
        <w:t>A villamos energia elszámolás tekintetében, Felek megállapodnak, hogy a szolgáltató által adott időszakra kiállított villamos energia számla végösszegéből kerül meghatározásra az 1 kWh egységnyi villamos energiafogyasztás összege, melyből a leolvasott fogyasztásnak megfelelően kerül kiszámlázásra a Használóra jutó villamos energia költség.</w:t>
      </w:r>
    </w:p>
    <w:p w14:paraId="27743633" w14:textId="77777777" w:rsidR="00CE583C" w:rsidRPr="00CE583C" w:rsidRDefault="00CE583C" w:rsidP="00CE583C">
      <w:pPr>
        <w:spacing w:after="0" w:line="240" w:lineRule="auto"/>
        <w:jc w:val="both"/>
        <w:rPr>
          <w:rFonts w:ascii="Times New Roman" w:eastAsia="Calibri" w:hAnsi="Times New Roman" w:cs="Times New Roman"/>
          <w:bCs/>
          <w:sz w:val="23"/>
          <w:szCs w:val="23"/>
        </w:rPr>
      </w:pPr>
    </w:p>
    <w:p w14:paraId="304FFC27" w14:textId="77777777" w:rsidR="00CE583C" w:rsidRPr="00CE583C" w:rsidRDefault="00CE583C" w:rsidP="00CE583C">
      <w:pPr>
        <w:spacing w:before="240" w:after="240" w:line="240" w:lineRule="auto"/>
        <w:contextualSpacing/>
        <w:jc w:val="both"/>
        <w:rPr>
          <w:rFonts w:ascii="Times New Roman" w:eastAsia="Calibri" w:hAnsi="Times New Roman" w:cs="Times New Roman"/>
          <w:b/>
          <w:sz w:val="23"/>
          <w:szCs w:val="23"/>
          <w:u w:val="single"/>
        </w:rPr>
      </w:pPr>
      <w:r w:rsidRPr="00CE583C">
        <w:rPr>
          <w:rFonts w:ascii="Times New Roman" w:eastAsia="Calibri" w:hAnsi="Times New Roman" w:cs="Times New Roman"/>
          <w:b/>
          <w:sz w:val="23"/>
          <w:szCs w:val="23"/>
          <w:u w:val="single"/>
        </w:rPr>
        <w:t>Földgázenergia felhasználás megállapítása, elszámolása:</w:t>
      </w:r>
    </w:p>
    <w:p w14:paraId="07892270" w14:textId="77777777" w:rsidR="00CE583C" w:rsidRPr="00CE583C" w:rsidRDefault="00CE583C" w:rsidP="00CE583C">
      <w:pPr>
        <w:spacing w:before="120" w:after="0" w:line="240" w:lineRule="auto"/>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A Földhivatali Osztály 5. által használt terület külön fűtésrendszerrel és gázkazánnal rendelkezik, a Használó a költségeket a szolgáltató felé önállóan rendezi.</w:t>
      </w:r>
    </w:p>
    <w:p w14:paraId="32FAD3FE" w14:textId="77777777" w:rsidR="00CE583C" w:rsidRPr="00CE583C" w:rsidRDefault="00CE583C" w:rsidP="00CE583C">
      <w:pPr>
        <w:spacing w:before="120" w:after="0" w:line="240" w:lineRule="auto"/>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Felek kijelentik, hogy az Üzemeltetési Megállapodás 4.1 pontjában meghatározott a Tulajdonos által ténylegesen használt épületrész (Magyar Posta) vonatkozásában a gáz főmérő után gáz almérő került felszerelésre. Ezek alapján Felek az alábbi gázköltség-elszámolásban állapodnak meg az Üzemeltetési Megállapodás 4.1 pontjában meghatározott ingatlanok vonatkozásában.</w:t>
      </w:r>
    </w:p>
    <w:p w14:paraId="5BA37EAE" w14:textId="77777777" w:rsidR="00CE583C" w:rsidRPr="00CE583C" w:rsidRDefault="00CE583C" w:rsidP="00CE583C">
      <w:pPr>
        <w:spacing w:before="120" w:after="0" w:line="240" w:lineRule="auto"/>
        <w:contextualSpacing/>
        <w:jc w:val="both"/>
        <w:rPr>
          <w:rFonts w:ascii="Times New Roman" w:eastAsia="Calibri" w:hAnsi="Times New Roman" w:cs="Times New Roman"/>
          <w:sz w:val="23"/>
          <w:szCs w:val="23"/>
          <w:u w:val="single"/>
        </w:rPr>
      </w:pPr>
    </w:p>
    <w:p w14:paraId="2A3FB706" w14:textId="77777777" w:rsidR="00CE583C" w:rsidRPr="00CE583C" w:rsidRDefault="00CE583C" w:rsidP="00CE583C">
      <w:pPr>
        <w:numPr>
          <w:ilvl w:val="0"/>
          <w:numId w:val="15"/>
        </w:numPr>
        <w:spacing w:before="240" w:after="24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b/>
          <w:sz w:val="23"/>
          <w:szCs w:val="23"/>
        </w:rPr>
        <w:t>Ténylegesen elfogyasztott gázmennyiség vonatkozásában (a számlán minden fogyasztás arányos tétel)</w:t>
      </w:r>
      <w:r w:rsidRPr="00CE583C">
        <w:rPr>
          <w:rFonts w:ascii="Times New Roman" w:eastAsia="Calibri" w:hAnsi="Times New Roman" w:cs="Times New Roman"/>
          <w:sz w:val="23"/>
          <w:szCs w:val="23"/>
        </w:rPr>
        <w:t>:</w:t>
      </w:r>
    </w:p>
    <w:p w14:paraId="695D248A" w14:textId="77777777" w:rsidR="00CE583C" w:rsidRPr="00CE583C" w:rsidRDefault="00CE583C" w:rsidP="00CE583C">
      <w:pPr>
        <w:spacing w:after="240" w:line="240" w:lineRule="auto"/>
        <w:ind w:left="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Használó az Üzemeltető részére az Üzemeltetési megállapodás 4.1. pontjában meghatározott ingatlan gáz főmérőjén mért gázfogyasztás alapján megállapított földgáz költség és ugyanezen ingatlanban a Tulajdonos által kizárólagosan használt ingatlanrész (Magyar Posta) gázfogyasztását mérő gáz-almérő alapján számított földgáz költség különbözetének 84,38 %-át fizeti meg az 1. számú melléklet alapján tekintettel arra, hogy a Tulajdonos kizárólagos használatában lévő emeleti 32. és 33. számú helyiségek (házasságkötő terem és előkészítő helyisége) az almérő által mért területen kívül helyezkednek el.</w:t>
      </w:r>
    </w:p>
    <w:p w14:paraId="354FA749" w14:textId="77777777" w:rsidR="00CE583C" w:rsidRPr="00CE583C" w:rsidRDefault="00CE583C" w:rsidP="00CE583C">
      <w:pPr>
        <w:spacing w:after="240" w:line="240" w:lineRule="auto"/>
        <w:ind w:left="284"/>
        <w:contextualSpacing/>
        <w:jc w:val="both"/>
        <w:rPr>
          <w:rFonts w:ascii="Times New Roman" w:eastAsia="Calibri" w:hAnsi="Times New Roman" w:cs="Times New Roman"/>
          <w:sz w:val="23"/>
          <w:szCs w:val="23"/>
        </w:rPr>
      </w:pPr>
    </w:p>
    <w:p w14:paraId="4BD17D9A" w14:textId="77777777" w:rsidR="00CE583C" w:rsidRPr="00CE583C" w:rsidRDefault="00CE583C" w:rsidP="00CE583C">
      <w:pPr>
        <w:numPr>
          <w:ilvl w:val="0"/>
          <w:numId w:val="15"/>
        </w:numPr>
        <w:spacing w:before="240" w:after="240" w:line="240" w:lineRule="auto"/>
        <w:ind w:left="284" w:hanging="284"/>
        <w:contextualSpacing/>
        <w:jc w:val="both"/>
        <w:rPr>
          <w:rFonts w:ascii="Times New Roman" w:eastAsia="Calibri" w:hAnsi="Times New Roman" w:cs="Times New Roman"/>
          <w:b/>
          <w:sz w:val="23"/>
          <w:szCs w:val="23"/>
        </w:rPr>
      </w:pPr>
      <w:r w:rsidRPr="00CE583C">
        <w:rPr>
          <w:rFonts w:ascii="Times New Roman" w:eastAsia="Calibri" w:hAnsi="Times New Roman" w:cs="Times New Roman"/>
          <w:b/>
          <w:sz w:val="23"/>
          <w:szCs w:val="23"/>
        </w:rPr>
        <w:t>Alapdíj vonatkozásában (a számlán minden időszakra szóló tétel):</w:t>
      </w:r>
    </w:p>
    <w:p w14:paraId="3ECC4DDE" w14:textId="77777777" w:rsidR="00CE583C" w:rsidRPr="00CE583C" w:rsidRDefault="00CE583C" w:rsidP="00CE583C">
      <w:pPr>
        <w:spacing w:after="240" w:line="240" w:lineRule="auto"/>
        <w:ind w:left="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Az Üzemeltetési megállapodás 4.1. pontjában meghatározott ingatlan gáz-főmérő alapján kiszámlázott alapdíj vonatkozásában a Felek úgy állapodnak meg, hogy Használó az udvari épületek fűtését is figyelembe véve számított, teljes alapterület Használó által kizárólagosan használt területével arányos részét 56,4%-ot, azaz számlán szereplő alapdíj 56,4%-át fizeti meg.</w:t>
      </w:r>
    </w:p>
    <w:p w14:paraId="3ED41E15" w14:textId="77777777" w:rsidR="00CE583C" w:rsidRPr="00CE583C" w:rsidRDefault="00CE583C" w:rsidP="00CE583C">
      <w:pPr>
        <w:spacing w:after="240" w:line="240" w:lineRule="auto"/>
        <w:ind w:left="284"/>
        <w:contextualSpacing/>
        <w:jc w:val="both"/>
        <w:rPr>
          <w:rFonts w:ascii="Times New Roman" w:eastAsia="Calibri" w:hAnsi="Times New Roman" w:cs="Times New Roman"/>
          <w:sz w:val="23"/>
          <w:szCs w:val="23"/>
        </w:rPr>
      </w:pPr>
    </w:p>
    <w:p w14:paraId="6A92DCB3" w14:textId="77777777" w:rsidR="00CE583C" w:rsidRPr="00CE583C" w:rsidRDefault="00CE583C" w:rsidP="00CE583C">
      <w:pPr>
        <w:numPr>
          <w:ilvl w:val="0"/>
          <w:numId w:val="15"/>
        </w:numPr>
        <w:spacing w:after="240" w:line="240" w:lineRule="auto"/>
        <w:ind w:left="284" w:hanging="284"/>
        <w:contextualSpacing/>
        <w:jc w:val="both"/>
        <w:rPr>
          <w:rFonts w:ascii="Times New Roman" w:eastAsia="Calibri" w:hAnsi="Times New Roman" w:cs="Times New Roman"/>
          <w:b/>
          <w:sz w:val="23"/>
          <w:szCs w:val="23"/>
        </w:rPr>
      </w:pPr>
      <w:r w:rsidRPr="00CE583C">
        <w:rPr>
          <w:rFonts w:ascii="Times New Roman" w:eastAsia="Calibri" w:hAnsi="Times New Roman" w:cs="Times New Roman"/>
          <w:b/>
          <w:sz w:val="23"/>
          <w:szCs w:val="23"/>
        </w:rPr>
        <w:t>Díj megállapítása és továbbszámlázásának módja:</w:t>
      </w:r>
    </w:p>
    <w:p w14:paraId="1F29AD66" w14:textId="77777777" w:rsidR="00CE583C" w:rsidRPr="00CE583C" w:rsidRDefault="00CE583C" w:rsidP="00CE583C">
      <w:pPr>
        <w:spacing w:after="120" w:line="240" w:lineRule="auto"/>
        <w:ind w:left="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Üzemeltető jelen alpontban meghatározott módon megállapítja a Használót terhelő gázszolgáltatási díjat. Üzemeltető az általa megállapított gázszolgáltatási díjról szóló számlával együtt a gáz fő- és almérők mérőállásáról készült fényképfelvételek és a gázszolgáltató által kiállított számlák másolatait is megküldi.</w:t>
      </w:r>
    </w:p>
    <w:p w14:paraId="1CEDEAE3" w14:textId="77777777" w:rsidR="00CE583C" w:rsidRPr="00CE583C" w:rsidRDefault="00CE583C" w:rsidP="00CE583C">
      <w:pPr>
        <w:spacing w:after="120" w:line="240" w:lineRule="auto"/>
        <w:ind w:left="284"/>
        <w:contextualSpacing/>
        <w:jc w:val="both"/>
        <w:rPr>
          <w:rFonts w:ascii="Times New Roman" w:eastAsia="Calibri" w:hAnsi="Times New Roman" w:cs="Times New Roman"/>
          <w:sz w:val="23"/>
          <w:szCs w:val="23"/>
        </w:rPr>
      </w:pPr>
    </w:p>
    <w:p w14:paraId="6E58CF38" w14:textId="77777777" w:rsidR="00CE583C" w:rsidRPr="00CE583C" w:rsidRDefault="00CE583C" w:rsidP="00CE583C">
      <w:pPr>
        <w:spacing w:after="240" w:line="240" w:lineRule="auto"/>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A 4.3. és a 4.4. pontban megjelölt ingatlanok tekintetében a szolgáltatásról a Használó külön szerződésben önállóan gondoskodik.”</w:t>
      </w:r>
    </w:p>
    <w:p w14:paraId="60127F7E" w14:textId="77777777" w:rsidR="00CE583C" w:rsidRPr="00CE583C" w:rsidRDefault="00CE583C" w:rsidP="00CE583C">
      <w:pPr>
        <w:spacing w:after="240" w:line="240" w:lineRule="auto"/>
        <w:ind w:left="567"/>
        <w:contextualSpacing/>
        <w:jc w:val="both"/>
        <w:rPr>
          <w:rFonts w:ascii="Times New Roman" w:eastAsia="Calibri" w:hAnsi="Times New Roman" w:cs="Times New Roman"/>
          <w:sz w:val="23"/>
          <w:szCs w:val="23"/>
        </w:rPr>
      </w:pPr>
    </w:p>
    <w:p w14:paraId="40B1F132" w14:textId="77777777" w:rsidR="00CE583C" w:rsidRPr="00CE583C" w:rsidRDefault="00CE583C" w:rsidP="00CE583C">
      <w:pPr>
        <w:numPr>
          <w:ilvl w:val="0"/>
          <w:numId w:val="13"/>
        </w:numPr>
        <w:spacing w:before="240" w:after="240" w:line="240" w:lineRule="auto"/>
        <w:ind w:left="1077"/>
        <w:contextualSpacing/>
        <w:jc w:val="center"/>
        <w:rPr>
          <w:rFonts w:ascii="Times New Roman" w:eastAsia="Calibri" w:hAnsi="Times New Roman" w:cs="Times New Roman"/>
          <w:b/>
          <w:sz w:val="23"/>
          <w:szCs w:val="23"/>
        </w:rPr>
      </w:pPr>
      <w:r w:rsidRPr="00CE583C">
        <w:rPr>
          <w:rFonts w:ascii="Times New Roman" w:eastAsia="Calibri" w:hAnsi="Times New Roman" w:cs="Times New Roman"/>
          <w:b/>
          <w:sz w:val="23"/>
          <w:szCs w:val="23"/>
        </w:rPr>
        <w:t>Záró rendelkezések</w:t>
      </w:r>
    </w:p>
    <w:p w14:paraId="057EDEA3" w14:textId="77777777" w:rsidR="00CE583C" w:rsidRPr="00CE583C" w:rsidRDefault="00CE583C" w:rsidP="00CE583C">
      <w:pPr>
        <w:spacing w:before="240" w:after="240" w:line="240" w:lineRule="auto"/>
        <w:ind w:left="357"/>
        <w:contextualSpacing/>
        <w:rPr>
          <w:rFonts w:ascii="Times New Roman" w:eastAsia="Calibri" w:hAnsi="Times New Roman" w:cs="Times New Roman"/>
          <w:bCs/>
          <w:sz w:val="23"/>
          <w:szCs w:val="23"/>
        </w:rPr>
      </w:pPr>
    </w:p>
    <w:p w14:paraId="6F2FD406" w14:textId="77777777" w:rsidR="00CE583C" w:rsidRPr="00CE583C" w:rsidRDefault="00CE583C" w:rsidP="00CE583C">
      <w:pPr>
        <w:numPr>
          <w:ilvl w:val="0"/>
          <w:numId w:val="14"/>
        </w:numPr>
        <w:spacing w:after="12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Jelen módosító megállapodás hatálya valamennyi fél aláírása napján lép hatályba, amennyiben nem azonos napon írják alá, a későbbi aláírás napján, azzal, hogy rendelkezéseit 2023. november16. (gáz almérő felszerelés napjától) napjától kell alkalmazni.</w:t>
      </w:r>
    </w:p>
    <w:p w14:paraId="18E5EEF5" w14:textId="77777777" w:rsidR="00CE583C" w:rsidRPr="00CE583C" w:rsidRDefault="00CE583C" w:rsidP="00CE583C">
      <w:pPr>
        <w:spacing w:after="120" w:line="240" w:lineRule="auto"/>
        <w:contextualSpacing/>
        <w:jc w:val="both"/>
        <w:rPr>
          <w:rFonts w:ascii="Times New Roman" w:eastAsia="Calibri" w:hAnsi="Times New Roman" w:cs="Times New Roman"/>
          <w:sz w:val="23"/>
          <w:szCs w:val="23"/>
        </w:rPr>
      </w:pPr>
    </w:p>
    <w:p w14:paraId="480CDB62" w14:textId="77777777" w:rsidR="00CE583C" w:rsidRPr="00CE583C" w:rsidRDefault="00CE583C" w:rsidP="00CE583C">
      <w:pPr>
        <w:numPr>
          <w:ilvl w:val="0"/>
          <w:numId w:val="14"/>
        </w:numPr>
        <w:spacing w:after="12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Felek az Üzemeltetési Megállapodás és annak korábbi módosításának jelen módosító megállapodással nem érintett részeit hatályában fenntartja.</w:t>
      </w:r>
    </w:p>
    <w:p w14:paraId="30492927" w14:textId="77777777" w:rsidR="00CE583C" w:rsidRPr="00CE583C" w:rsidRDefault="00CE583C" w:rsidP="00CE583C">
      <w:pPr>
        <w:spacing w:after="120" w:line="240" w:lineRule="auto"/>
        <w:contextualSpacing/>
        <w:jc w:val="both"/>
        <w:rPr>
          <w:rFonts w:ascii="Times New Roman" w:eastAsia="Calibri" w:hAnsi="Times New Roman" w:cs="Times New Roman"/>
          <w:sz w:val="23"/>
          <w:szCs w:val="23"/>
        </w:rPr>
      </w:pPr>
    </w:p>
    <w:p w14:paraId="01BC7BE3" w14:textId="77777777" w:rsidR="00CE583C" w:rsidRPr="00CE583C" w:rsidRDefault="00CE583C" w:rsidP="00CE583C">
      <w:pPr>
        <w:numPr>
          <w:ilvl w:val="0"/>
          <w:numId w:val="14"/>
        </w:numPr>
        <w:spacing w:after="12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Jelen módosító megállapodást az Üzemeltetési megállapodással, annak módosításával és kiegészítő megállapodásaival együtt kell kezelni, értelmezi és tárolni.</w:t>
      </w:r>
    </w:p>
    <w:p w14:paraId="36E96837" w14:textId="77777777" w:rsidR="00CE583C" w:rsidRPr="00CE583C" w:rsidRDefault="00CE583C" w:rsidP="00CE583C">
      <w:pPr>
        <w:spacing w:after="120" w:line="240" w:lineRule="auto"/>
        <w:contextualSpacing/>
        <w:jc w:val="both"/>
        <w:rPr>
          <w:rFonts w:ascii="Times New Roman" w:eastAsia="Calibri" w:hAnsi="Times New Roman" w:cs="Times New Roman"/>
          <w:sz w:val="23"/>
          <w:szCs w:val="23"/>
        </w:rPr>
      </w:pPr>
    </w:p>
    <w:p w14:paraId="334FDB07" w14:textId="77777777" w:rsidR="00CE583C" w:rsidRPr="00CE583C" w:rsidRDefault="00CE583C" w:rsidP="00CE583C">
      <w:pPr>
        <w:numPr>
          <w:ilvl w:val="0"/>
          <w:numId w:val="14"/>
        </w:numPr>
        <w:spacing w:after="12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Mivel jelen szerződés teljesítése keretében személyes adatok kezelése történik, Az Európai Parlament és a Tanács (EU) 2016/679. számú Rendeletének (a továbbiakban: GDPR) 2. cikk (1) bekezdésére figyelemmel a 2018. május 25. napjától alkalmazandó általános adatvédelmi rendelet előírásait Felek kötelesek betartani. Felek rögzítik, hogy az információs önrendelkezési jogról és az információszabadságról szóló 2011. évi CXII. törvény (Info tv.) rendelkezéseit is betartják.</w:t>
      </w:r>
    </w:p>
    <w:p w14:paraId="19926C3E" w14:textId="77777777" w:rsidR="00CE583C" w:rsidRPr="00CE583C" w:rsidRDefault="00CE583C" w:rsidP="00CE583C">
      <w:pPr>
        <w:spacing w:after="120" w:line="240" w:lineRule="auto"/>
        <w:contextualSpacing/>
        <w:jc w:val="both"/>
        <w:rPr>
          <w:rFonts w:ascii="Times New Roman" w:eastAsia="Calibri" w:hAnsi="Times New Roman" w:cs="Times New Roman"/>
          <w:sz w:val="23"/>
          <w:szCs w:val="23"/>
        </w:rPr>
      </w:pPr>
    </w:p>
    <w:p w14:paraId="214F520E" w14:textId="77777777" w:rsidR="00CE583C" w:rsidRPr="00CE583C" w:rsidRDefault="00CE583C" w:rsidP="00CE583C">
      <w:pPr>
        <w:numPr>
          <w:ilvl w:val="0"/>
          <w:numId w:val="14"/>
        </w:numPr>
        <w:spacing w:after="240" w:line="240" w:lineRule="auto"/>
        <w:ind w:left="284" w:hanging="284"/>
        <w:contextualSpacing/>
        <w:jc w:val="both"/>
        <w:rPr>
          <w:rFonts w:ascii="Times New Roman" w:eastAsia="Calibri" w:hAnsi="Times New Roman" w:cs="Times New Roman"/>
          <w:sz w:val="23"/>
          <w:szCs w:val="23"/>
        </w:rPr>
      </w:pPr>
      <w:r w:rsidRPr="00CE583C">
        <w:rPr>
          <w:rFonts w:ascii="Times New Roman" w:eastAsia="Calibri" w:hAnsi="Times New Roman" w:cs="Times New Roman"/>
          <w:sz w:val="23"/>
          <w:szCs w:val="23"/>
        </w:rPr>
        <w:t>Jelen szerződésmódosítás hat mindenben egyező példányban készült, melyet Felek átolvastak, és azt, mint akaratukkal mindenben egyezőt jóváhagyólag aláírták.</w:t>
      </w:r>
    </w:p>
    <w:p w14:paraId="7B0B9A28" w14:textId="77777777" w:rsidR="00CE583C" w:rsidRPr="00CE583C" w:rsidRDefault="00CE583C" w:rsidP="00CE583C">
      <w:pPr>
        <w:suppressAutoHyphens/>
        <w:spacing w:after="0" w:line="240" w:lineRule="auto"/>
        <w:jc w:val="both"/>
        <w:rPr>
          <w:rFonts w:ascii="Times New Roman" w:eastAsia="SimSun" w:hAnsi="Times New Roman" w:cs="Lucida Sans"/>
          <w:kern w:val="2"/>
          <w:sz w:val="23"/>
          <w:szCs w:val="23"/>
          <w:lang w:eastAsia="zh-CN" w:bidi="hi-IN"/>
        </w:rPr>
      </w:pPr>
    </w:p>
    <w:p w14:paraId="0725DDC8" w14:textId="77777777" w:rsidR="00CE583C" w:rsidRPr="00CE583C" w:rsidRDefault="00CE583C" w:rsidP="00CE583C">
      <w:pPr>
        <w:suppressAutoHyphens/>
        <w:spacing w:after="0" w:line="240" w:lineRule="auto"/>
        <w:jc w:val="both"/>
        <w:rPr>
          <w:rFonts w:ascii="Times New Roman" w:eastAsia="SimSun" w:hAnsi="Times New Roman" w:cs="Lucida Sans"/>
          <w:kern w:val="2"/>
          <w:sz w:val="23"/>
          <w:szCs w:val="23"/>
          <w:lang w:eastAsia="zh-CN" w:bidi="hi-IN"/>
        </w:rPr>
      </w:pPr>
    </w:p>
    <w:p w14:paraId="52B9EED6" w14:textId="77777777" w:rsidR="00CE583C" w:rsidRPr="00CE583C" w:rsidRDefault="00CE583C" w:rsidP="00CE583C">
      <w:pPr>
        <w:suppressAutoHyphens/>
        <w:spacing w:after="0" w:line="240" w:lineRule="auto"/>
        <w:jc w:val="both"/>
        <w:rPr>
          <w:rFonts w:ascii="Times New Roman" w:eastAsia="SimSun" w:hAnsi="Times New Roman" w:cs="Lucida Sans"/>
          <w:kern w:val="2"/>
          <w:sz w:val="23"/>
          <w:szCs w:val="23"/>
          <w:lang w:eastAsia="zh-CN" w:bidi="hi-IN"/>
        </w:rPr>
      </w:pPr>
    </w:p>
    <w:tbl>
      <w:tblPr>
        <w:tblW w:w="9072" w:type="dxa"/>
        <w:tblLayout w:type="fixed"/>
        <w:tblCellMar>
          <w:left w:w="0" w:type="dxa"/>
          <w:right w:w="0" w:type="dxa"/>
        </w:tblCellMar>
        <w:tblLook w:val="0000" w:firstRow="0" w:lastRow="0" w:firstColumn="0" w:lastColumn="0" w:noHBand="0" w:noVBand="0"/>
      </w:tblPr>
      <w:tblGrid>
        <w:gridCol w:w="3024"/>
        <w:gridCol w:w="3024"/>
        <w:gridCol w:w="3024"/>
      </w:tblGrid>
      <w:tr w:rsidR="00CE583C" w:rsidRPr="00CE583C" w14:paraId="343F7276" w14:textId="77777777" w:rsidTr="00B33514">
        <w:tc>
          <w:tcPr>
            <w:tcW w:w="3024" w:type="dxa"/>
          </w:tcPr>
          <w:p w14:paraId="420C75E3" w14:textId="77777777" w:rsidR="00CE583C" w:rsidRPr="00CE583C" w:rsidRDefault="00CE583C" w:rsidP="00CE583C">
            <w:pPr>
              <w:widowControl w:val="0"/>
              <w:suppressLineNumbers/>
              <w:suppressAutoHyphens/>
              <w:spacing w:after="0" w:line="240" w:lineRule="auto"/>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Székesfehérvár,. ………….</w:t>
            </w:r>
          </w:p>
        </w:tc>
        <w:tc>
          <w:tcPr>
            <w:tcW w:w="3024" w:type="dxa"/>
          </w:tcPr>
          <w:p w14:paraId="73135FC0" w14:textId="77777777" w:rsidR="00CE583C" w:rsidRPr="00CE583C" w:rsidRDefault="00CE583C" w:rsidP="00CE583C">
            <w:pPr>
              <w:widowControl w:val="0"/>
              <w:suppressLineNumbers/>
              <w:suppressAutoHyphens/>
              <w:spacing w:after="0" w:line="240" w:lineRule="auto"/>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Mór, ……………….</w:t>
            </w:r>
          </w:p>
        </w:tc>
        <w:tc>
          <w:tcPr>
            <w:tcW w:w="3024" w:type="dxa"/>
          </w:tcPr>
          <w:p w14:paraId="494D443B" w14:textId="77777777" w:rsidR="00CE583C" w:rsidRPr="00CE583C" w:rsidRDefault="00CE583C" w:rsidP="00CE583C">
            <w:pPr>
              <w:widowControl w:val="0"/>
              <w:suppressLineNumbers/>
              <w:suppressAutoHyphens/>
              <w:spacing w:after="0" w:line="240" w:lineRule="auto"/>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Mór, ………………..</w:t>
            </w:r>
          </w:p>
        </w:tc>
      </w:tr>
      <w:tr w:rsidR="00CE583C" w:rsidRPr="00CE583C" w14:paraId="34294341" w14:textId="77777777" w:rsidTr="00B33514">
        <w:tc>
          <w:tcPr>
            <w:tcW w:w="3024" w:type="dxa"/>
          </w:tcPr>
          <w:p w14:paraId="0116E958" w14:textId="77777777" w:rsidR="00CE583C" w:rsidRPr="00CE583C" w:rsidRDefault="00CE583C" w:rsidP="00CE583C">
            <w:pPr>
              <w:widowControl w:val="0"/>
              <w:suppressLineNumbers/>
              <w:suppressAutoHyphens/>
              <w:spacing w:after="0" w:line="240" w:lineRule="auto"/>
              <w:rPr>
                <w:rFonts w:ascii="Times New Roman" w:eastAsia="SimSun" w:hAnsi="Times New Roman" w:cs="Lucida Sans"/>
                <w:kern w:val="2"/>
                <w:sz w:val="23"/>
                <w:szCs w:val="23"/>
                <w:lang w:eastAsia="zh-CN" w:bidi="hi-IN"/>
              </w:rPr>
            </w:pPr>
          </w:p>
        </w:tc>
        <w:tc>
          <w:tcPr>
            <w:tcW w:w="3024" w:type="dxa"/>
          </w:tcPr>
          <w:p w14:paraId="67028B97" w14:textId="77777777" w:rsidR="00CE583C" w:rsidRPr="00CE583C" w:rsidRDefault="00CE583C" w:rsidP="00CE583C">
            <w:pPr>
              <w:widowControl w:val="0"/>
              <w:suppressLineNumbers/>
              <w:suppressAutoHyphens/>
              <w:spacing w:after="0" w:line="240" w:lineRule="auto"/>
              <w:rPr>
                <w:rFonts w:ascii="Times New Roman" w:eastAsia="SimSun" w:hAnsi="Times New Roman" w:cs="Lucida Sans"/>
                <w:kern w:val="2"/>
                <w:sz w:val="23"/>
                <w:szCs w:val="23"/>
                <w:lang w:eastAsia="zh-CN" w:bidi="hi-IN"/>
              </w:rPr>
            </w:pPr>
          </w:p>
        </w:tc>
        <w:tc>
          <w:tcPr>
            <w:tcW w:w="3024" w:type="dxa"/>
          </w:tcPr>
          <w:p w14:paraId="67B209A7" w14:textId="77777777" w:rsidR="00CE583C" w:rsidRPr="00CE583C" w:rsidRDefault="00CE583C" w:rsidP="00CE583C">
            <w:pPr>
              <w:widowControl w:val="0"/>
              <w:suppressLineNumbers/>
              <w:suppressAutoHyphens/>
              <w:spacing w:after="0" w:line="240" w:lineRule="auto"/>
              <w:rPr>
                <w:rFonts w:ascii="Times New Roman" w:eastAsia="SimSun" w:hAnsi="Times New Roman" w:cs="Lucida Sans"/>
                <w:kern w:val="2"/>
                <w:sz w:val="23"/>
                <w:szCs w:val="23"/>
                <w:lang w:eastAsia="zh-CN" w:bidi="hi-IN"/>
              </w:rPr>
            </w:pPr>
          </w:p>
        </w:tc>
      </w:tr>
      <w:tr w:rsidR="00CE583C" w:rsidRPr="00CE583C" w14:paraId="2CB13953" w14:textId="77777777" w:rsidTr="00B33514">
        <w:tc>
          <w:tcPr>
            <w:tcW w:w="3024" w:type="dxa"/>
          </w:tcPr>
          <w:p w14:paraId="2E05EA8F" w14:textId="77777777" w:rsidR="00CE583C" w:rsidRPr="00CE583C" w:rsidRDefault="00CE583C" w:rsidP="00CE583C">
            <w:pPr>
              <w:widowControl w:val="0"/>
              <w:suppressLineNumbers/>
              <w:suppressAutoHyphens/>
              <w:spacing w:after="0" w:line="240" w:lineRule="auto"/>
              <w:rPr>
                <w:rFonts w:ascii="Times New Roman" w:eastAsia="SimSun" w:hAnsi="Times New Roman" w:cs="Lucida Sans"/>
                <w:kern w:val="2"/>
                <w:sz w:val="23"/>
                <w:szCs w:val="23"/>
                <w:lang w:eastAsia="zh-CN" w:bidi="hi-IN"/>
              </w:rPr>
            </w:pPr>
          </w:p>
        </w:tc>
        <w:tc>
          <w:tcPr>
            <w:tcW w:w="3024" w:type="dxa"/>
          </w:tcPr>
          <w:p w14:paraId="3404308A" w14:textId="77777777" w:rsidR="00CE583C" w:rsidRPr="00CE583C" w:rsidRDefault="00CE583C" w:rsidP="00CE583C">
            <w:pPr>
              <w:widowControl w:val="0"/>
              <w:suppressLineNumbers/>
              <w:suppressAutoHyphens/>
              <w:spacing w:after="0" w:line="240" w:lineRule="auto"/>
              <w:rPr>
                <w:rFonts w:ascii="Times New Roman" w:eastAsia="SimSun" w:hAnsi="Times New Roman" w:cs="Lucida Sans"/>
                <w:kern w:val="2"/>
                <w:sz w:val="23"/>
                <w:szCs w:val="23"/>
                <w:lang w:eastAsia="zh-CN" w:bidi="hi-IN"/>
              </w:rPr>
            </w:pPr>
          </w:p>
        </w:tc>
        <w:tc>
          <w:tcPr>
            <w:tcW w:w="3024" w:type="dxa"/>
          </w:tcPr>
          <w:p w14:paraId="1FC6E7A4" w14:textId="77777777" w:rsidR="00CE583C" w:rsidRPr="00CE583C" w:rsidRDefault="00CE583C" w:rsidP="00CE583C">
            <w:pPr>
              <w:widowControl w:val="0"/>
              <w:suppressLineNumbers/>
              <w:suppressAutoHyphens/>
              <w:spacing w:after="0" w:line="240" w:lineRule="auto"/>
              <w:rPr>
                <w:rFonts w:ascii="Times New Roman" w:eastAsia="SimSun" w:hAnsi="Times New Roman" w:cs="Lucida Sans"/>
                <w:kern w:val="2"/>
                <w:sz w:val="23"/>
                <w:szCs w:val="23"/>
                <w:lang w:eastAsia="zh-CN" w:bidi="hi-IN"/>
              </w:rPr>
            </w:pPr>
          </w:p>
        </w:tc>
      </w:tr>
      <w:tr w:rsidR="00CE583C" w:rsidRPr="00CE583C" w14:paraId="03D368ED" w14:textId="77777777" w:rsidTr="00B33514">
        <w:tc>
          <w:tcPr>
            <w:tcW w:w="3024" w:type="dxa"/>
          </w:tcPr>
          <w:p w14:paraId="25F0E837"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w:t>
            </w:r>
          </w:p>
        </w:tc>
        <w:tc>
          <w:tcPr>
            <w:tcW w:w="3024" w:type="dxa"/>
          </w:tcPr>
          <w:p w14:paraId="26094F43"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w:t>
            </w:r>
          </w:p>
        </w:tc>
        <w:tc>
          <w:tcPr>
            <w:tcW w:w="3024" w:type="dxa"/>
          </w:tcPr>
          <w:p w14:paraId="4E32898B"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w:t>
            </w:r>
          </w:p>
        </w:tc>
      </w:tr>
      <w:tr w:rsidR="00CE583C" w:rsidRPr="00CE583C" w14:paraId="5FC8219E" w14:textId="77777777" w:rsidTr="00B33514">
        <w:tc>
          <w:tcPr>
            <w:tcW w:w="3024" w:type="dxa"/>
          </w:tcPr>
          <w:p w14:paraId="606CEDE3"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b/>
                <w:bCs/>
                <w:kern w:val="2"/>
                <w:sz w:val="23"/>
                <w:szCs w:val="23"/>
                <w:lang w:eastAsia="zh-CN" w:bidi="hi-IN"/>
              </w:rPr>
            </w:pPr>
            <w:r w:rsidRPr="00CE583C">
              <w:rPr>
                <w:rFonts w:ascii="Times New Roman" w:eastAsia="SimSun" w:hAnsi="Times New Roman" w:cs="Lucida Sans"/>
                <w:b/>
                <w:bCs/>
                <w:kern w:val="2"/>
                <w:sz w:val="23"/>
                <w:szCs w:val="23"/>
                <w:lang w:eastAsia="zh-CN" w:bidi="hi-IN"/>
              </w:rPr>
              <w:t xml:space="preserve">Dr. Tanárki Gábor </w:t>
            </w:r>
          </w:p>
        </w:tc>
        <w:tc>
          <w:tcPr>
            <w:tcW w:w="3024" w:type="dxa"/>
          </w:tcPr>
          <w:p w14:paraId="4DEF1A98"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b/>
                <w:bCs/>
                <w:kern w:val="2"/>
                <w:sz w:val="23"/>
                <w:szCs w:val="23"/>
                <w:lang w:eastAsia="zh-CN" w:bidi="hi-IN"/>
              </w:rPr>
            </w:pPr>
            <w:r w:rsidRPr="00CE583C">
              <w:rPr>
                <w:rFonts w:ascii="Times New Roman" w:eastAsia="SimSun" w:hAnsi="Times New Roman" w:cs="Lucida Sans"/>
                <w:b/>
                <w:bCs/>
                <w:kern w:val="2"/>
                <w:sz w:val="23"/>
                <w:szCs w:val="23"/>
                <w:lang w:eastAsia="zh-CN" w:bidi="hi-IN"/>
              </w:rPr>
              <w:t>Fenyves Péter</w:t>
            </w:r>
          </w:p>
        </w:tc>
        <w:tc>
          <w:tcPr>
            <w:tcW w:w="3024" w:type="dxa"/>
          </w:tcPr>
          <w:p w14:paraId="68DC2018"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b/>
                <w:bCs/>
                <w:kern w:val="2"/>
                <w:sz w:val="23"/>
                <w:szCs w:val="23"/>
                <w:lang w:eastAsia="zh-CN" w:bidi="hi-IN"/>
              </w:rPr>
            </w:pPr>
            <w:r w:rsidRPr="00CE583C">
              <w:rPr>
                <w:rFonts w:ascii="Times New Roman" w:eastAsia="SimSun" w:hAnsi="Times New Roman" w:cs="Lucida Sans"/>
                <w:b/>
                <w:bCs/>
                <w:kern w:val="2"/>
                <w:sz w:val="23"/>
                <w:szCs w:val="23"/>
                <w:lang w:eastAsia="zh-CN" w:bidi="hi-IN"/>
              </w:rPr>
              <w:t>Békési László</w:t>
            </w:r>
          </w:p>
        </w:tc>
      </w:tr>
      <w:tr w:rsidR="00CE583C" w:rsidRPr="00CE583C" w14:paraId="142EE9E3" w14:textId="77777777" w:rsidTr="00B33514">
        <w:tc>
          <w:tcPr>
            <w:tcW w:w="3024" w:type="dxa"/>
          </w:tcPr>
          <w:p w14:paraId="1BBE8FA1"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főispán</w:t>
            </w:r>
          </w:p>
          <w:p w14:paraId="7898D62C"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Használó</w:t>
            </w:r>
          </w:p>
        </w:tc>
        <w:tc>
          <w:tcPr>
            <w:tcW w:w="3024" w:type="dxa"/>
          </w:tcPr>
          <w:p w14:paraId="1A5D4927"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polgármester</w:t>
            </w:r>
          </w:p>
          <w:p w14:paraId="07CC17B1"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Tulajdonos</w:t>
            </w:r>
          </w:p>
        </w:tc>
        <w:tc>
          <w:tcPr>
            <w:tcW w:w="3024" w:type="dxa"/>
          </w:tcPr>
          <w:p w14:paraId="3BB58F75"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ügyvezető</w:t>
            </w:r>
          </w:p>
          <w:p w14:paraId="3F4D5126"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Üzemeltető</w:t>
            </w:r>
          </w:p>
        </w:tc>
      </w:tr>
      <w:tr w:rsidR="00CE583C" w:rsidRPr="00CE583C" w14:paraId="4611F4B6" w14:textId="77777777" w:rsidTr="00B33514">
        <w:tc>
          <w:tcPr>
            <w:tcW w:w="3024" w:type="dxa"/>
          </w:tcPr>
          <w:p w14:paraId="66CF5D17"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tc>
        <w:tc>
          <w:tcPr>
            <w:tcW w:w="3024" w:type="dxa"/>
          </w:tcPr>
          <w:p w14:paraId="3C331AF7"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tc>
        <w:tc>
          <w:tcPr>
            <w:tcW w:w="3024" w:type="dxa"/>
          </w:tcPr>
          <w:p w14:paraId="0F9E46E2"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tc>
      </w:tr>
      <w:tr w:rsidR="00CE583C" w:rsidRPr="00CE583C" w14:paraId="376BC0E4" w14:textId="77777777" w:rsidTr="00B33514">
        <w:tc>
          <w:tcPr>
            <w:tcW w:w="3024" w:type="dxa"/>
          </w:tcPr>
          <w:p w14:paraId="39E5D531" w14:textId="77777777" w:rsidR="00CE583C" w:rsidRPr="00CE583C" w:rsidRDefault="00CE583C" w:rsidP="00CE583C">
            <w:pPr>
              <w:widowControl w:val="0"/>
              <w:suppressLineNumbers/>
              <w:suppressAutoHyphens/>
              <w:spacing w:after="0" w:line="240" w:lineRule="auto"/>
              <w:jc w:val="both"/>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Pénzügyi ellenjegyző:</w:t>
            </w:r>
          </w:p>
          <w:p w14:paraId="413081EE" w14:textId="77777777" w:rsidR="00CE583C" w:rsidRPr="00CE583C" w:rsidRDefault="00CE583C" w:rsidP="00CE583C">
            <w:pPr>
              <w:widowControl w:val="0"/>
              <w:suppressLineNumbers/>
              <w:suppressAutoHyphens/>
              <w:spacing w:after="0" w:line="240" w:lineRule="auto"/>
              <w:jc w:val="both"/>
              <w:rPr>
                <w:rFonts w:ascii="Times New Roman" w:eastAsia="SimSun" w:hAnsi="Times New Roman" w:cs="Lucida Sans"/>
                <w:kern w:val="2"/>
                <w:sz w:val="23"/>
                <w:szCs w:val="23"/>
                <w:lang w:eastAsia="zh-CN" w:bidi="hi-IN"/>
              </w:rPr>
            </w:pPr>
          </w:p>
          <w:p w14:paraId="7CF56C16"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w:t>
            </w:r>
          </w:p>
          <w:p w14:paraId="6E408605"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Jónásné Kozma Éva</w:t>
            </w:r>
          </w:p>
          <w:p w14:paraId="3C625BBD"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gazdasági vezető</w:t>
            </w:r>
          </w:p>
          <w:p w14:paraId="2466271F"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Használó</w:t>
            </w:r>
          </w:p>
        </w:tc>
        <w:tc>
          <w:tcPr>
            <w:tcW w:w="3024" w:type="dxa"/>
          </w:tcPr>
          <w:p w14:paraId="7DF79258"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Pénzügyi ellenjegyző:</w:t>
            </w:r>
          </w:p>
          <w:p w14:paraId="1DB6421E"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Mór, ………………</w:t>
            </w:r>
          </w:p>
          <w:p w14:paraId="74132E05"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p w14:paraId="1ED96DB4"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w:t>
            </w:r>
          </w:p>
          <w:p w14:paraId="16525DD9"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Hossó Anita</w:t>
            </w:r>
          </w:p>
          <w:p w14:paraId="70E6FDEF"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pénzügyi irodavezető</w:t>
            </w:r>
          </w:p>
          <w:p w14:paraId="68A8AB30"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Tulajdonos</w:t>
            </w:r>
          </w:p>
        </w:tc>
        <w:tc>
          <w:tcPr>
            <w:tcW w:w="3024" w:type="dxa"/>
          </w:tcPr>
          <w:p w14:paraId="29BC49E6"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tc>
      </w:tr>
      <w:tr w:rsidR="00CE583C" w:rsidRPr="00CE583C" w14:paraId="4B6F8741" w14:textId="77777777" w:rsidTr="00B33514">
        <w:tc>
          <w:tcPr>
            <w:tcW w:w="3024" w:type="dxa"/>
          </w:tcPr>
          <w:p w14:paraId="3BD3B77B" w14:textId="77777777" w:rsidR="00CE583C" w:rsidRPr="00CE583C" w:rsidRDefault="00CE583C" w:rsidP="00CE583C">
            <w:pPr>
              <w:widowControl w:val="0"/>
              <w:suppressLineNumbers/>
              <w:suppressAutoHyphens/>
              <w:spacing w:after="0" w:line="240" w:lineRule="auto"/>
              <w:jc w:val="both"/>
              <w:rPr>
                <w:rFonts w:ascii="Times New Roman" w:eastAsia="SimSun" w:hAnsi="Times New Roman" w:cs="Lucida Sans"/>
                <w:kern w:val="2"/>
                <w:sz w:val="23"/>
                <w:szCs w:val="23"/>
                <w:lang w:eastAsia="zh-CN" w:bidi="hi-IN"/>
              </w:rPr>
            </w:pPr>
          </w:p>
        </w:tc>
        <w:tc>
          <w:tcPr>
            <w:tcW w:w="3024" w:type="dxa"/>
          </w:tcPr>
          <w:p w14:paraId="4432BC8E"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tc>
        <w:tc>
          <w:tcPr>
            <w:tcW w:w="3024" w:type="dxa"/>
          </w:tcPr>
          <w:p w14:paraId="69786960"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tc>
      </w:tr>
      <w:tr w:rsidR="00CE583C" w:rsidRPr="00CE583C" w14:paraId="10BEBF8D" w14:textId="77777777" w:rsidTr="00B33514">
        <w:tc>
          <w:tcPr>
            <w:tcW w:w="3024" w:type="dxa"/>
          </w:tcPr>
          <w:p w14:paraId="10A49A5D" w14:textId="77777777" w:rsidR="00CE583C" w:rsidRPr="00CE583C" w:rsidRDefault="00CE583C" w:rsidP="00CE583C">
            <w:pPr>
              <w:widowControl w:val="0"/>
              <w:suppressLineNumbers/>
              <w:suppressAutoHyphens/>
              <w:spacing w:after="0" w:line="240" w:lineRule="auto"/>
              <w:jc w:val="both"/>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Jogi szempontból megfelelő:</w:t>
            </w:r>
          </w:p>
        </w:tc>
        <w:tc>
          <w:tcPr>
            <w:tcW w:w="3024" w:type="dxa"/>
          </w:tcPr>
          <w:p w14:paraId="15C29BC8"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Jogi ellenjegyző:</w:t>
            </w:r>
          </w:p>
          <w:p w14:paraId="65DF11C2"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Mór, ………………</w:t>
            </w:r>
          </w:p>
        </w:tc>
        <w:tc>
          <w:tcPr>
            <w:tcW w:w="3024" w:type="dxa"/>
          </w:tcPr>
          <w:p w14:paraId="39B931F8"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tc>
      </w:tr>
      <w:tr w:rsidR="00CE583C" w:rsidRPr="00CE583C" w14:paraId="38C01A1B" w14:textId="77777777" w:rsidTr="00B33514">
        <w:tc>
          <w:tcPr>
            <w:tcW w:w="3024" w:type="dxa"/>
          </w:tcPr>
          <w:p w14:paraId="00C75081" w14:textId="77777777" w:rsidR="00CE583C" w:rsidRPr="00CE583C" w:rsidRDefault="00CE583C" w:rsidP="00CE583C">
            <w:pPr>
              <w:widowControl w:val="0"/>
              <w:suppressLineNumbers/>
              <w:suppressAutoHyphens/>
              <w:spacing w:after="0" w:line="240" w:lineRule="auto"/>
              <w:jc w:val="both"/>
              <w:rPr>
                <w:rFonts w:ascii="Times New Roman" w:eastAsia="SimSun" w:hAnsi="Times New Roman" w:cs="Lucida Sans"/>
                <w:kern w:val="2"/>
                <w:sz w:val="23"/>
                <w:szCs w:val="23"/>
                <w:lang w:eastAsia="zh-CN" w:bidi="hi-IN"/>
              </w:rPr>
            </w:pPr>
          </w:p>
          <w:p w14:paraId="796814E4"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w:t>
            </w:r>
          </w:p>
          <w:p w14:paraId="28F6593B"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Dr. Simon Katalin</w:t>
            </w:r>
          </w:p>
          <w:p w14:paraId="0DC9E8C1"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jogi osztályvezető</w:t>
            </w:r>
          </w:p>
          <w:p w14:paraId="15F2F00F"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Használó</w:t>
            </w:r>
          </w:p>
        </w:tc>
        <w:tc>
          <w:tcPr>
            <w:tcW w:w="3024" w:type="dxa"/>
          </w:tcPr>
          <w:p w14:paraId="23F02EEA"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p w14:paraId="50449B14"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w:t>
            </w:r>
          </w:p>
          <w:p w14:paraId="72FE2076"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dr. Taba Nikoletta</w:t>
            </w:r>
          </w:p>
          <w:p w14:paraId="1A3032AD"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jegyző</w:t>
            </w:r>
          </w:p>
          <w:p w14:paraId="4614C83A"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r w:rsidRPr="00CE583C">
              <w:rPr>
                <w:rFonts w:ascii="Times New Roman" w:eastAsia="SimSun" w:hAnsi="Times New Roman" w:cs="Lucida Sans"/>
                <w:kern w:val="2"/>
                <w:sz w:val="23"/>
                <w:szCs w:val="23"/>
                <w:lang w:eastAsia="zh-CN" w:bidi="hi-IN"/>
              </w:rPr>
              <w:t>Tulajdonos</w:t>
            </w:r>
          </w:p>
        </w:tc>
        <w:tc>
          <w:tcPr>
            <w:tcW w:w="3024" w:type="dxa"/>
          </w:tcPr>
          <w:p w14:paraId="26522772" w14:textId="77777777" w:rsidR="00CE583C" w:rsidRPr="00CE583C" w:rsidRDefault="00CE583C" w:rsidP="00CE583C">
            <w:pPr>
              <w:widowControl w:val="0"/>
              <w:suppressLineNumbers/>
              <w:suppressAutoHyphens/>
              <w:spacing w:after="0" w:line="240" w:lineRule="auto"/>
              <w:jc w:val="center"/>
              <w:rPr>
                <w:rFonts w:ascii="Times New Roman" w:eastAsia="SimSun" w:hAnsi="Times New Roman" w:cs="Lucida Sans"/>
                <w:kern w:val="2"/>
                <w:sz w:val="23"/>
                <w:szCs w:val="23"/>
                <w:lang w:eastAsia="zh-CN" w:bidi="hi-IN"/>
              </w:rPr>
            </w:pPr>
          </w:p>
        </w:tc>
      </w:tr>
      <w:bookmarkEnd w:id="0"/>
    </w:tbl>
    <w:p w14:paraId="3CB6418B" w14:textId="77777777" w:rsidR="00CE583C" w:rsidRPr="00CE583C" w:rsidRDefault="00CE583C" w:rsidP="00CE583C">
      <w:pPr>
        <w:tabs>
          <w:tab w:val="center" w:pos="5812"/>
        </w:tabs>
        <w:spacing w:after="0" w:line="240" w:lineRule="auto"/>
        <w:jc w:val="right"/>
        <w:rPr>
          <w:rFonts w:ascii="Arial" w:eastAsia="Calibri" w:hAnsi="Arial" w:cs="Arial"/>
          <w:sz w:val="24"/>
          <w:szCs w:val="24"/>
        </w:rPr>
      </w:pPr>
    </w:p>
    <w:p w14:paraId="36FD5321" w14:textId="77777777" w:rsidR="00CE583C" w:rsidRPr="00CE583C" w:rsidRDefault="00CE583C" w:rsidP="00CE583C">
      <w:pPr>
        <w:rPr>
          <w:rFonts w:ascii="Arial" w:eastAsia="Calibri" w:hAnsi="Arial" w:cs="Arial"/>
          <w:sz w:val="24"/>
          <w:szCs w:val="24"/>
        </w:rPr>
      </w:pPr>
    </w:p>
    <w:p w14:paraId="2F6AE677" w14:textId="77777777" w:rsidR="00CE583C" w:rsidRPr="00CE583C" w:rsidRDefault="00CE583C" w:rsidP="00CE583C">
      <w:pPr>
        <w:tabs>
          <w:tab w:val="center" w:pos="5812"/>
        </w:tabs>
        <w:spacing w:after="0" w:line="240" w:lineRule="auto"/>
        <w:jc w:val="right"/>
        <w:rPr>
          <w:rFonts w:ascii="Arial" w:eastAsia="Calibri" w:hAnsi="Arial" w:cs="Arial"/>
          <w:sz w:val="24"/>
          <w:szCs w:val="24"/>
        </w:rPr>
      </w:pPr>
    </w:p>
    <w:p w14:paraId="33183607" w14:textId="77777777" w:rsidR="00CE583C" w:rsidRPr="00CE583C" w:rsidRDefault="00CE583C" w:rsidP="00CE583C">
      <w:pPr>
        <w:spacing w:after="0" w:line="240" w:lineRule="auto"/>
        <w:rPr>
          <w:rFonts w:ascii="Arial" w:eastAsia="Calibri" w:hAnsi="Arial" w:cs="Arial"/>
          <w:sz w:val="24"/>
          <w:szCs w:val="24"/>
        </w:rPr>
      </w:pPr>
      <w:bookmarkStart w:id="1" w:name="_Hlk81989749"/>
      <w:bookmarkStart w:id="2" w:name="_Hlk143608743"/>
    </w:p>
    <w:bookmarkEnd w:id="1"/>
    <w:bookmarkEnd w:id="2"/>
    <w:p w14:paraId="42DD795E" w14:textId="77777777" w:rsidR="00CE583C" w:rsidRPr="00CE583C" w:rsidRDefault="00CE583C" w:rsidP="00CE583C">
      <w:pPr>
        <w:jc w:val="right"/>
        <w:rPr>
          <w:rFonts w:ascii="Arial" w:eastAsia="Calibri" w:hAnsi="Arial" w:cs="Arial"/>
          <w:sz w:val="24"/>
          <w:szCs w:val="24"/>
        </w:rPr>
      </w:pPr>
    </w:p>
    <w:sectPr w:rsidR="00CE583C" w:rsidRPr="00CE583C" w:rsidSect="00233475">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B1D77" w14:textId="77777777" w:rsidR="00B1511B" w:rsidRDefault="00B1511B">
      <w:pPr>
        <w:spacing w:after="0" w:line="240" w:lineRule="auto"/>
      </w:pPr>
      <w:r>
        <w:separator/>
      </w:r>
    </w:p>
  </w:endnote>
  <w:endnote w:type="continuationSeparator" w:id="0">
    <w:p w14:paraId="7BF2DF85" w14:textId="77777777" w:rsidR="00B1511B" w:rsidRDefault="00B1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E00E" w14:textId="77777777" w:rsidR="0089191B" w:rsidRDefault="00000000">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43C37" w14:textId="77777777" w:rsidR="00B1511B" w:rsidRDefault="00B1511B">
      <w:pPr>
        <w:spacing w:after="0" w:line="240" w:lineRule="auto"/>
      </w:pPr>
      <w:r>
        <w:separator/>
      </w:r>
    </w:p>
  </w:footnote>
  <w:footnote w:type="continuationSeparator" w:id="0">
    <w:p w14:paraId="308A6BF4" w14:textId="77777777" w:rsidR="00B1511B" w:rsidRDefault="00B15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4849F7"/>
    <w:multiLevelType w:val="hybridMultilevel"/>
    <w:tmpl w:val="87265906"/>
    <w:lvl w:ilvl="0" w:tplc="C96242A0">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EA140C5"/>
    <w:multiLevelType w:val="hybridMultilevel"/>
    <w:tmpl w:val="A15E2F3E"/>
    <w:lvl w:ilvl="0" w:tplc="DD6C0BF2">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0D20068"/>
    <w:multiLevelType w:val="hybridMultilevel"/>
    <w:tmpl w:val="8C4A7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DC3F67"/>
    <w:multiLevelType w:val="hybridMultilevel"/>
    <w:tmpl w:val="87AEA774"/>
    <w:lvl w:ilvl="0" w:tplc="7704500E">
      <w:start w:val="1"/>
      <w:numFmt w:val="lowerLetter"/>
      <w:lvlText w:val="%1)"/>
      <w:lvlJc w:val="left"/>
      <w:pPr>
        <w:ind w:left="1065" w:hanging="360"/>
      </w:pPr>
      <w:rPr>
        <w:b/>
      </w:r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num w:numId="1" w16cid:durableId="1230917442">
    <w:abstractNumId w:val="9"/>
  </w:num>
  <w:num w:numId="2" w16cid:durableId="932590407">
    <w:abstractNumId w:val="12"/>
  </w:num>
  <w:num w:numId="3" w16cid:durableId="1469779523">
    <w:abstractNumId w:val="5"/>
  </w:num>
  <w:num w:numId="4" w16cid:durableId="1727148376">
    <w:abstractNumId w:val="7"/>
  </w:num>
  <w:num w:numId="5" w16cid:durableId="989790583">
    <w:abstractNumId w:val="13"/>
  </w:num>
  <w:num w:numId="6" w16cid:durableId="1119686896">
    <w:abstractNumId w:val="10"/>
  </w:num>
  <w:num w:numId="7" w16cid:durableId="1425150617">
    <w:abstractNumId w:val="6"/>
  </w:num>
  <w:num w:numId="8" w16cid:durableId="1898279024">
    <w:abstractNumId w:val="1"/>
  </w:num>
  <w:num w:numId="9" w16cid:durableId="1036734201">
    <w:abstractNumId w:val="8"/>
  </w:num>
  <w:num w:numId="10" w16cid:durableId="1571885168">
    <w:abstractNumId w:val="2"/>
  </w:num>
  <w:num w:numId="11" w16cid:durableId="446772802">
    <w:abstractNumId w:val="0"/>
  </w:num>
  <w:num w:numId="12" w16cid:durableId="1350528852">
    <w:abstractNumId w:val="11"/>
  </w:num>
  <w:num w:numId="13" w16cid:durableId="1964383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3139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62452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104A3"/>
    <w:rsid w:val="00036E62"/>
    <w:rsid w:val="00046639"/>
    <w:rsid w:val="000A17AB"/>
    <w:rsid w:val="000B09CC"/>
    <w:rsid w:val="00164D9F"/>
    <w:rsid w:val="00204823"/>
    <w:rsid w:val="00233475"/>
    <w:rsid w:val="0038264F"/>
    <w:rsid w:val="003D14E2"/>
    <w:rsid w:val="003E2631"/>
    <w:rsid w:val="004024E9"/>
    <w:rsid w:val="00412A33"/>
    <w:rsid w:val="0041686E"/>
    <w:rsid w:val="00454023"/>
    <w:rsid w:val="00474A43"/>
    <w:rsid w:val="00475D87"/>
    <w:rsid w:val="00483209"/>
    <w:rsid w:val="00491C0D"/>
    <w:rsid w:val="005B6B0C"/>
    <w:rsid w:val="005C397F"/>
    <w:rsid w:val="005D1739"/>
    <w:rsid w:val="005F4C4B"/>
    <w:rsid w:val="00630854"/>
    <w:rsid w:val="00630F06"/>
    <w:rsid w:val="006350AC"/>
    <w:rsid w:val="00645E1A"/>
    <w:rsid w:val="006608CA"/>
    <w:rsid w:val="0066739F"/>
    <w:rsid w:val="007D723B"/>
    <w:rsid w:val="008131A2"/>
    <w:rsid w:val="00825B57"/>
    <w:rsid w:val="00827488"/>
    <w:rsid w:val="00833B42"/>
    <w:rsid w:val="00835D6F"/>
    <w:rsid w:val="00857B10"/>
    <w:rsid w:val="00863AE7"/>
    <w:rsid w:val="0089191B"/>
    <w:rsid w:val="009020B9"/>
    <w:rsid w:val="0090505C"/>
    <w:rsid w:val="009A64F7"/>
    <w:rsid w:val="00A30161"/>
    <w:rsid w:val="00B1511B"/>
    <w:rsid w:val="00B2309B"/>
    <w:rsid w:val="00B637C7"/>
    <w:rsid w:val="00B8346B"/>
    <w:rsid w:val="00BA553C"/>
    <w:rsid w:val="00BB2530"/>
    <w:rsid w:val="00C013E0"/>
    <w:rsid w:val="00C03F9A"/>
    <w:rsid w:val="00C32F0F"/>
    <w:rsid w:val="00C4497A"/>
    <w:rsid w:val="00C61D4F"/>
    <w:rsid w:val="00C94BB0"/>
    <w:rsid w:val="00CC3D56"/>
    <w:rsid w:val="00CE583C"/>
    <w:rsid w:val="00D26471"/>
    <w:rsid w:val="00D54ACE"/>
    <w:rsid w:val="00D649B6"/>
    <w:rsid w:val="00E4642C"/>
    <w:rsid w:val="00E652C1"/>
    <w:rsid w:val="00E80520"/>
    <w:rsid w:val="00EE4791"/>
    <w:rsid w:val="00F3397C"/>
    <w:rsid w:val="00F64919"/>
    <w:rsid w:val="00F70482"/>
    <w:rsid w:val="00F75E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nhideWhenUsed/>
    <w:rsid w:val="00BA553C"/>
    <w:pPr>
      <w:tabs>
        <w:tab w:val="center" w:pos="4536"/>
        <w:tab w:val="right" w:pos="9072"/>
      </w:tabs>
      <w:spacing w:after="0" w:line="240" w:lineRule="auto"/>
    </w:pPr>
  </w:style>
  <w:style w:type="character" w:customStyle="1" w:styleId="llbChar">
    <w:name w:val="Élőláb Char"/>
    <w:basedOn w:val="Bekezdsalapbettpusa"/>
    <w:link w:val="llb"/>
    <w:rsid w:val="00BA553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6808</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3</cp:revision>
  <dcterms:created xsi:type="dcterms:W3CDTF">2024-12-09T10:12:00Z</dcterms:created>
  <dcterms:modified xsi:type="dcterms:W3CDTF">2024-12-16T08:05:00Z</dcterms:modified>
</cp:coreProperties>
</file>