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D6D3" w14:textId="4646C96F" w:rsidR="00F51640" w:rsidRDefault="00F51640" w:rsidP="00F516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F23972">
        <w:rPr>
          <w:rFonts w:ascii="Arial" w:hAnsi="Arial" w:cs="Arial"/>
          <w:sz w:val="24"/>
          <w:szCs w:val="24"/>
        </w:rPr>
        <w:t>228</w:t>
      </w:r>
      <w:r>
        <w:rPr>
          <w:rFonts w:ascii="Arial" w:hAnsi="Arial" w:cs="Arial"/>
          <w:sz w:val="24"/>
          <w:szCs w:val="24"/>
        </w:rPr>
        <w:t>/2024. (VI.26.) határozat melléklete</w:t>
      </w:r>
    </w:p>
    <w:p w14:paraId="6BF20BA1" w14:textId="77777777" w:rsidR="00F51640" w:rsidRDefault="00F51640" w:rsidP="00F51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51B6C" w14:textId="77777777" w:rsidR="00F51640" w:rsidRPr="00A335D2" w:rsidRDefault="00F51640" w:rsidP="00F516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hu-HU"/>
        </w:rPr>
        <w:t>VÁLLALKOZÁSI SZERZŐDÉS</w:t>
      </w:r>
    </w:p>
    <w:p w14:paraId="21E9D0BC" w14:textId="77777777" w:rsidR="00F51640" w:rsidRPr="00A335D2" w:rsidRDefault="00F51640" w:rsidP="00F516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1F96F40" w14:textId="77777777" w:rsidR="00F51640" w:rsidRPr="00A335D2" w:rsidRDefault="00F51640" w:rsidP="00F516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792DB181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mely létrejött egyrészről </w:t>
      </w:r>
    </w:p>
    <w:p w14:paraId="68FF9819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Mór Városi Önkormányzat (székhely: 8060 Mór, Szent István tér 6. képviseli: Fenyves Péter polgármester, adószám: 15727220-2-07)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mint megrendelő (továbbiakban: </w:t>
      </w: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Megrendelő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), </w:t>
      </w:r>
    </w:p>
    <w:p w14:paraId="307AE933" w14:textId="77777777" w:rsidR="00F51640" w:rsidRPr="00A335D2" w:rsidRDefault="00F51640" w:rsidP="00F516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76511580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másrészről</w:t>
      </w:r>
    </w:p>
    <w:p w14:paraId="1FB2D6BF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Style w:val="Oldalszm"/>
          <w:rFonts w:ascii="Times New Roman" w:hAnsi="Times New Roman" w:cs="Times New Roman"/>
          <w:b/>
          <w:bCs/>
          <w:sz w:val="23"/>
          <w:szCs w:val="23"/>
        </w:rPr>
        <w:t>RONEKO Ipari szolgáltató és Kereskedelmi Kft</w:t>
      </w:r>
      <w:r w:rsidRPr="00A335D2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(székhely: 8000 Székesfehérvár, Takarodó út 9., képviseli: Nemes Elvira, Cs. Nagy Attila ügyvezetők, adószám: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A335D2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10653386-2-07</w:t>
      </w: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), 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mint vállalkozó (továbbiakban: </w:t>
      </w: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Vállalkozó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) </w:t>
      </w:r>
    </w:p>
    <w:p w14:paraId="2AE531FB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35BB46CC" w14:textId="77777777" w:rsidR="00F51640" w:rsidRPr="00A335D2" w:rsidRDefault="00F51640" w:rsidP="00F516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együttesen: szerződő felek között az alulírott helyen és időben az alábbi feltételekkel:</w:t>
      </w:r>
    </w:p>
    <w:p w14:paraId="6C97C710" w14:textId="77777777" w:rsidR="00F51640" w:rsidRPr="00A335D2" w:rsidRDefault="00F51640" w:rsidP="00F516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5BCB18B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2F3D760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1./ A szerződés tárgya:</w:t>
      </w:r>
    </w:p>
    <w:p w14:paraId="5F9A21FD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A335D2">
        <w:rPr>
          <w:rFonts w:ascii="Times New Roman" w:hAnsi="Times New Roman" w:cs="Times New Roman"/>
          <w:sz w:val="23"/>
          <w:szCs w:val="23"/>
        </w:rPr>
        <w:t xml:space="preserve">A Virág és Jegenye utcákban közvilágítás </w:t>
      </w:r>
      <w:r w:rsidRPr="00A335D2">
        <w:rPr>
          <w:rFonts w:ascii="Times New Roman" w:hAnsi="Times New Roman" w:cs="Times New Roman"/>
          <w:iCs/>
          <w:sz w:val="23"/>
          <w:szCs w:val="23"/>
        </w:rPr>
        <w:t>kivitelezése.</w:t>
      </w:r>
    </w:p>
    <w:p w14:paraId="3716D5E2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21809F6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napToGrid w:val="0"/>
          <w:sz w:val="23"/>
          <w:szCs w:val="23"/>
          <w:u w:val="single"/>
          <w:lang w:eastAsia="hu-HU"/>
        </w:rPr>
        <w:t>Feladat</w:t>
      </w:r>
      <w:r w:rsidRPr="00A335D2">
        <w:rPr>
          <w:rFonts w:ascii="Times New Roman" w:eastAsia="Times New Roman" w:hAnsi="Times New Roman" w:cs="Times New Roman"/>
          <w:snapToGrid w:val="0"/>
          <w:sz w:val="23"/>
          <w:szCs w:val="23"/>
          <w:lang w:eastAsia="hu-HU"/>
        </w:rPr>
        <w:t>:</w:t>
      </w:r>
    </w:p>
    <w:p w14:paraId="6F42C116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bookmarkStart w:id="0" w:name="_Hlk161998626"/>
      <w:r w:rsidRPr="00A335D2">
        <w:rPr>
          <w:rFonts w:ascii="Times New Roman" w:hAnsi="Times New Roman" w:cs="Times New Roman"/>
          <w:sz w:val="23"/>
          <w:szCs w:val="23"/>
        </w:rPr>
        <w:t>A Virág és Jegenye utcák újonnan kialakításra került szakaszain földkábeles közvilágítás</w:t>
      </w:r>
      <w:r w:rsidRPr="00A335D2">
        <w:rPr>
          <w:rFonts w:ascii="Times New Roman" w:hAnsi="Times New Roman" w:cs="Times New Roman"/>
          <w:iCs/>
          <w:sz w:val="23"/>
          <w:szCs w:val="23"/>
        </w:rPr>
        <w:t xml:space="preserve">i hálózat kiépítése acél lámpaoszlopokkal és LED lámpatestekkel Nepp Róbert villamos tervező (FORTEN Bt. 2459 Rácalmás, Gárdonyi G. u. 41.) által 2022. évben elkészített villamos kiviteli terv alapján az alábbi kiegészítés </w:t>
      </w:r>
      <w:proofErr w:type="gramStart"/>
      <w:r w:rsidRPr="00A335D2">
        <w:rPr>
          <w:rFonts w:ascii="Times New Roman" w:hAnsi="Times New Roman" w:cs="Times New Roman"/>
          <w:iCs/>
          <w:sz w:val="23"/>
          <w:szCs w:val="23"/>
        </w:rPr>
        <w:t>figyelembe vételével</w:t>
      </w:r>
      <w:proofErr w:type="gramEnd"/>
      <w:r w:rsidRPr="00A335D2">
        <w:rPr>
          <w:rFonts w:ascii="Times New Roman" w:hAnsi="Times New Roman" w:cs="Times New Roman"/>
          <w:iCs/>
          <w:sz w:val="23"/>
          <w:szCs w:val="23"/>
        </w:rPr>
        <w:t>.</w:t>
      </w:r>
    </w:p>
    <w:p w14:paraId="6EF654F7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266EC1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335D2">
        <w:rPr>
          <w:rFonts w:ascii="Times New Roman" w:hAnsi="Times New Roman" w:cs="Times New Roman"/>
          <w:sz w:val="23"/>
          <w:szCs w:val="23"/>
        </w:rPr>
        <w:t>Az É.2. számú lámpaoszloptól a 2153/17 hrsz-ú ingatlan É-i sarokpontjáig a közvilágítási földkábel nyomvonala a létesülő távközlési hálózattal közös munkagödörben épül annak érdekében, hogy az előírások szerinti védőtávolság biztosított legyen. Ezen a szakaszon a munkaárok földmunkája a távközlési kábel kivitelezési munkáival együtt készül. A távközlési hálózat építése során a közvilágítási hálózat létesítéséhez szükséges védőcsöveket a kiemelt munkaárokba kell elhelyezni.</w:t>
      </w:r>
    </w:p>
    <w:p w14:paraId="0C73D907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3599F35" w14:textId="77777777" w:rsidR="00F51640" w:rsidRPr="00A335D2" w:rsidRDefault="00F51640" w:rsidP="00F5164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335D2">
        <w:rPr>
          <w:rFonts w:ascii="Times New Roman" w:hAnsi="Times New Roman" w:cs="Times New Roman"/>
          <w:sz w:val="23"/>
          <w:szCs w:val="23"/>
          <w:u w:val="single"/>
        </w:rPr>
        <w:t>Teljesítés helye</w:t>
      </w:r>
      <w:r w:rsidRPr="00A335D2">
        <w:rPr>
          <w:rFonts w:ascii="Times New Roman" w:hAnsi="Times New Roman" w:cs="Times New Roman"/>
          <w:sz w:val="23"/>
          <w:szCs w:val="23"/>
        </w:rPr>
        <w:t>: Mór, 2153/4, 2153/16, 2153/25, 2153/2, 4297 hrsz-ú közterület ingatlanok</w:t>
      </w:r>
    </w:p>
    <w:p w14:paraId="303DA0E7" w14:textId="77777777" w:rsidR="00F51640" w:rsidRPr="00A335D2" w:rsidRDefault="00F51640" w:rsidP="00F516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hu-HU"/>
        </w:rPr>
      </w:pPr>
    </w:p>
    <w:bookmarkEnd w:id="0"/>
    <w:p w14:paraId="47527FEE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2./ A vállalkozási díj:</w:t>
      </w:r>
    </w:p>
    <w:p w14:paraId="4302A846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nettó 24.214.650 Ft + ÁFA, bruttó 30.752.606 Ft, azaz harmincmillió-hétszázötvenkettőezer-hatszázhat forint.</w:t>
      </w:r>
    </w:p>
    <w:p w14:paraId="57FE64F6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A díj a szerződés elválaszthatatlan részét képező, vállalkozó által benyújtott árajánlat alapján került megállapításra</w:t>
      </w:r>
    </w:p>
    <w:p w14:paraId="557421E9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Vállalkozó vállalja, hogy az általa megadott és Mór Városi Önkormányzat Képviselő-testületének …/2024. (VI. 26.) számú határozata alapján a Megrendelő által elfogadott ajánlati áron, I. osztályú minőségben munkát végez.</w:t>
      </w:r>
    </w:p>
    <w:p w14:paraId="6345BABD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A Vállalkozó a hatályos jogszabályok figyelembevételével – a mindenkori ÁFA előírásoknak megfelelően és a Megrendelő teljesítésigazolását követően számlát állít ki, melyet megküld a Megrendelőnek.</w:t>
      </w:r>
    </w:p>
    <w:p w14:paraId="0519CF5D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A vállalkozói díj teljes összegéről a kiállított számlát úgy kell összeállítani, hogy a jogszabályoknak és a szerződésnek megfelelő elszámolás ellenőrizhető legyen.</w:t>
      </w:r>
    </w:p>
    <w:p w14:paraId="4A34C913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14:paraId="6612B0C5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3./ A szerződésben szereplő munkák elvégzésének végső határideje: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</w:p>
    <w:p w14:paraId="761471B8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A szerződéskötéstől számított 4 hónap. 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Megrendelő előteljesítésre lehetőséget biztosít.</w:t>
      </w:r>
    </w:p>
    <w:p w14:paraId="095B9F3A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AF81F75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4./ Pénzügyi elszámolás:</w:t>
      </w:r>
    </w:p>
    <w:p w14:paraId="3BDB8580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lastRenderedPageBreak/>
        <w:t>A vállalkozó a munkavégzést követően, a szakmai teljesítés igazolásával jogosult számlát benyújtani a Megrendelő részére.</w:t>
      </w:r>
    </w:p>
    <w:p w14:paraId="6F9D499A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A számla összegének átutalását a szakmai teljesítés igazolás kiállítása után, a számla kézhezvételétől számított 15 napon belül átutalással teljesíti a Megrendelő, a Vállalkozó K&amp;H Bank Zrt. 10402908-50526778-68651004 számú bankszámlájára.</w:t>
      </w:r>
    </w:p>
    <w:p w14:paraId="001D8B71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87B1026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5./ Kötbérek:</w:t>
      </w:r>
    </w:p>
    <w:p w14:paraId="742727B8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Az 1./ pontban meghatározott munkavégzés késedelme esetén - a</w:t>
      </w:r>
      <w:r w:rsidRPr="00A335D2">
        <w:rPr>
          <w:rFonts w:ascii="Times New Roman" w:hAnsi="Times New Roman" w:cs="Times New Roman"/>
          <w:sz w:val="23"/>
          <w:szCs w:val="23"/>
          <w:lang w:val="x-none"/>
        </w:rPr>
        <w:t>mennyiben Vállalkozó</w:t>
      </w:r>
      <w:r w:rsidRPr="00A335D2">
        <w:rPr>
          <w:rFonts w:ascii="Times New Roman" w:hAnsi="Times New Roman" w:cs="Times New Roman"/>
          <w:sz w:val="23"/>
          <w:szCs w:val="23"/>
        </w:rPr>
        <w:t xml:space="preserve"> a munkát </w:t>
      </w:r>
      <w:r w:rsidRPr="00A335D2">
        <w:rPr>
          <w:rFonts w:ascii="Times New Roman" w:hAnsi="Times New Roman" w:cs="Times New Roman"/>
          <w:sz w:val="23"/>
          <w:szCs w:val="23"/>
          <w:lang w:val="x-none"/>
        </w:rPr>
        <w:t>olyan okból teljesíti késedelmesen, melyért felelős (a hibás teljesítésből eredő késedelmet is beleértve) -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a Megrendelő jogosult késedelmi kötbért levonni a vállalkozási díj összegéből, melynek napi mértéke a nettó szerződéses ellenérték 0,5%-a. </w:t>
      </w:r>
      <w:r w:rsidRPr="00A335D2">
        <w:rPr>
          <w:rFonts w:ascii="Times New Roman" w:hAnsi="Times New Roman" w:cs="Times New Roman"/>
          <w:sz w:val="23"/>
          <w:szCs w:val="23"/>
        </w:rPr>
        <w:t xml:space="preserve">Kötbérfizetési kötelezettség esetén Vállalkozó köteles külön nyilatkozatban is elismerni Megrendelő követelését. Amennyiben Vállalkozó a kötbérfizetési kötelezettségének elismerését jogszerűtlenül megtagadja, Megrendelő jogosult érvényesíteni vele szemben minden e kötelezettsége megszegéséből eredő károkat, költségeket, elmaradt hasznokat. 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Megrendelő a 30 napot meghaladó késedelem esetén jogosult a szerződést azonnali hatállyal felmondani.</w:t>
      </w:r>
    </w:p>
    <w:p w14:paraId="1D2BA29E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E0A376E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6./ A Megrendelő kötelezettségei különösen:</w:t>
      </w:r>
    </w:p>
    <w:p w14:paraId="58FD3AFF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- a munkaterületet munkavégzésre alkalmas állapotban a Vállalkozó rendelkezésére bocsátása</w:t>
      </w:r>
    </w:p>
    <w:p w14:paraId="05CD1FC8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948F8A6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7./ A Megrendelő jogosultságai különösen:</w:t>
      </w:r>
    </w:p>
    <w:p w14:paraId="6F77CC99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- a kivitelezés időszakos ellenőrzése</w:t>
      </w:r>
    </w:p>
    <w:p w14:paraId="61F0F0AE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734E4103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8./ A Vállalkozó kötelezettségei különösen:</w:t>
      </w:r>
    </w:p>
    <w:p w14:paraId="1C210F52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- a tevékenysége során, munkaterületén belül a biztonsági, munkavédelmi és tűzrendészeti előírások betartása</w:t>
      </w:r>
    </w:p>
    <w:p w14:paraId="3B5580C0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- a munka elvégzése során az alvállalkozó tevékenységéért a Vállalkozó úgy felel, mintha a munkát maga végezte volna</w:t>
      </w:r>
    </w:p>
    <w:p w14:paraId="5A3915EC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B0AE636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9./ A munka átvételének szabályai:</w:t>
      </w:r>
    </w:p>
    <w:p w14:paraId="4C2E7989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A szerződő felek rögzítik, hogy a Megrendelő megtagadhatja az elvégzett munka átvételét annak olyan jelentős hibái, hiánya miatt, amelyek kijavításával, pótlásával járó munkák akadályozzák a rendeltetésszerű használatot. Az átvétel megtagadása esetén a Megrendelő a kijavításig, pótlásig visszatarthatja a Vállalkozónak járó díjat.</w:t>
      </w:r>
    </w:p>
    <w:p w14:paraId="2DF96765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</w:p>
    <w:p w14:paraId="54005360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10./ Egyéb megállapodások:</w:t>
      </w:r>
    </w:p>
    <w:p w14:paraId="2B8B60DE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A szerződő felek megállapodnak abban, hogy a szerződés teljesítésével kapcsolatban ellenőrzésre jogosult a Megrendelő részéről:</w:t>
      </w:r>
    </w:p>
    <w:p w14:paraId="1D0FFA12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Albrecht Barbara, címe: Mór, Szent István tér 6. telefon: 22/560-820</w:t>
      </w:r>
    </w:p>
    <w:p w14:paraId="08F93AB7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C4E3E78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A Vállalkozó részéről:</w:t>
      </w:r>
    </w:p>
    <w:p w14:paraId="40BF6014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Pintér György, címe: Székesfehérvár,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T</w:t>
      </w:r>
      <w:r w:rsidRPr="00A335D2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akarodó út 9. telefon: 22/307-456</w:t>
      </w:r>
    </w:p>
    <w:p w14:paraId="08D5BAFB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14:paraId="0A72EF40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11./ Vállalkozó a jelen szerződés aláírásával nyilatkozik arról, hogy 2011. évi CXCVI. törvény 3. § (1) bekezdés 1. a-c) pontokban meghatározott átlátható szervezetnek minősül. Vállalkozó ezen nyilatkozatban foglaltak változása esetén arról haladéktalanul köteles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M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egrendelőt tájékoztatni. A valótlan tartalmú nyilatkozat alapján kötött visszterhes szerződést a Megrendelő felmondja vagy – ha a szerződés teljesítésére még nem került sor – a szerződéstől eláll.</w:t>
      </w:r>
    </w:p>
    <w:p w14:paraId="76512956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2ABC633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12./ Szerződő felek kijelentik, hogy a szerződés teljesítése során, illetve azzal kapcsolatban tudomásukra jutó, birtokukba kerülő, illetve egymásnak átadott minden személyes adatot 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lastRenderedPageBreak/>
        <w:t>bizalmasan kezelnek, valamint kötelezettséget vállalnak arra, hogy megtesznek minden olyan biztonsági, technikai és szervezési intézkedést, amely a személyes adatok biztonságát garantálja.</w:t>
      </w:r>
    </w:p>
    <w:p w14:paraId="32DF530B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Szerződő felek kötelezettséget vállalnak továbbá arra, hogy a személyes adatok kezelését a hatályos jogszabályokban meghatározott követelményeknek, különösen pedig az Európai Parlament és a Tanács 2016. április 27-én kiadott, 2018. május 25-től hatályos, a természetes személyeknek a személyes adatok kezelése tekintetében történő védelméről és az ilyen adatok szabad áramlásáról, valamint a 95/46/EK rendelet hatályon kívül helyezéséről szóló (EU) 2016/679 rendeletében (GDPR: General Data Protection Regulation – általános adatvédelmi rendelet), valamint az információs önrendelkezési jogról és az információszabadságról szóló 2011. évi CXII. törvényben (Info tv.) foglalt előírásoknak megfelelően végzik.</w:t>
      </w:r>
    </w:p>
    <w:p w14:paraId="3C818F88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16C39A2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13./ Jelen szerződésben nem szabályozott kérdések tekintetében a Polgári Törvénykönyv rendelkezései alkalmazandók. Szerződő felek a jelen szerződésből származó esetleges vitás kérdéseket elsősorban békés úton kívánják rendezni, az esetleges jogviták esetében alávetik magukat a Polgári Perrendtartás szerint illetékes és hatáskörrel rendelkező bíróságnak.</w:t>
      </w:r>
    </w:p>
    <w:p w14:paraId="3FEBE4E7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7B93EB8" w14:textId="77777777" w:rsidR="00F51640" w:rsidRPr="00A335D2" w:rsidRDefault="00F51640" w:rsidP="00F5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>14./ A szerződő felek a jelen szerződés elolvasták, értelmezték, megértették és mint akaratukkal mindenben megegyezőt helybenhagyólag aláírták.</w:t>
      </w:r>
    </w:p>
    <w:p w14:paraId="78A7F9A6" w14:textId="77777777" w:rsidR="00F51640" w:rsidRPr="00A335D2" w:rsidRDefault="00F51640" w:rsidP="00F516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F214938" w14:textId="77777777" w:rsidR="00F51640" w:rsidRPr="00A335D2" w:rsidRDefault="00F51640" w:rsidP="00F516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B02C32F" w14:textId="77777777" w:rsidR="00F51640" w:rsidRPr="00A335D2" w:rsidRDefault="00F51640" w:rsidP="00F516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406B3BF" w14:textId="77777777" w:rsidR="00F51640" w:rsidRPr="00A335D2" w:rsidRDefault="00F51640" w:rsidP="00F51640">
      <w:pPr>
        <w:tabs>
          <w:tab w:val="center" w:pos="1701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bookmarkStart w:id="1" w:name="_Hlk77843490"/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Mór, </w:t>
      </w:r>
      <w:bookmarkEnd w:id="1"/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2024. ….</w:t>
      </w: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  <w:t>Mór, 2024. ….</w:t>
      </w:r>
    </w:p>
    <w:p w14:paraId="202A7FC7" w14:textId="77777777" w:rsidR="00F51640" w:rsidRPr="00A335D2" w:rsidRDefault="00F51640" w:rsidP="00F51640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974C385" w14:textId="77777777" w:rsidR="00F51640" w:rsidRPr="00A335D2" w:rsidRDefault="00F51640" w:rsidP="00F51640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F7D9112" w14:textId="77777777" w:rsidR="00F51640" w:rsidRPr="00A335D2" w:rsidRDefault="00F51640" w:rsidP="00F51640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7F332B83" w14:textId="77777777" w:rsidR="00F51640" w:rsidRPr="00A335D2" w:rsidRDefault="00F51640" w:rsidP="00F51640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691947D5" w14:textId="77777777" w:rsidR="00F51640" w:rsidRPr="00A335D2" w:rsidRDefault="00F51640" w:rsidP="00F51640">
      <w:pPr>
        <w:tabs>
          <w:tab w:val="center" w:pos="1985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…..………………………………..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……………….………………………………….</w:t>
      </w:r>
    </w:p>
    <w:p w14:paraId="09E5B157" w14:textId="77777777" w:rsidR="00F51640" w:rsidRPr="00A335D2" w:rsidRDefault="00F51640" w:rsidP="00F51640">
      <w:pPr>
        <w:tabs>
          <w:tab w:val="center" w:pos="1985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Mór Városi Önkormányzat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RONEKO Ipari Szolgáltató és Kereskedelmi Kft.</w:t>
      </w:r>
    </w:p>
    <w:p w14:paraId="4BD10CDA" w14:textId="77777777" w:rsidR="00F51640" w:rsidRPr="00A335D2" w:rsidRDefault="00F51640" w:rsidP="00F51640">
      <w:pPr>
        <w:tabs>
          <w:tab w:val="center" w:pos="1985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mint Megrendelő képviseletében</w:t>
      </w:r>
      <w:r w:rsidRPr="00A335D2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: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mint Vállalkozó képviseletében:</w:t>
      </w:r>
    </w:p>
    <w:p w14:paraId="2DE6F484" w14:textId="77777777" w:rsidR="00F51640" w:rsidRPr="00A335D2" w:rsidRDefault="00F51640" w:rsidP="00F51640">
      <w:pPr>
        <w:tabs>
          <w:tab w:val="center" w:pos="1985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Pr="00A335D2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Fenyves Péter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polgármester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Nemes Elvira ügyvezető, Cs. Nagy Attila ügyvezető</w:t>
      </w:r>
    </w:p>
    <w:p w14:paraId="103F4652" w14:textId="77777777" w:rsidR="00F51640" w:rsidRPr="00A335D2" w:rsidRDefault="00F51640" w:rsidP="00F51640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14:paraId="66796D83" w14:textId="77777777" w:rsidR="00F51640" w:rsidRPr="00A335D2" w:rsidRDefault="00F51640" w:rsidP="00F51640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14:paraId="5B6B1D7E" w14:textId="77777777" w:rsidR="00F51640" w:rsidRPr="00A335D2" w:rsidRDefault="00F51640" w:rsidP="00F51640">
      <w:pPr>
        <w:tabs>
          <w:tab w:val="center" w:pos="1701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Mór, 2024. ….</w:t>
      </w: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</w:r>
      <w:r w:rsidRPr="00A335D2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  <w:t>Mór, 2024. ….</w:t>
      </w:r>
    </w:p>
    <w:p w14:paraId="375761FC" w14:textId="77777777" w:rsidR="00F51640" w:rsidRPr="00A335D2" w:rsidRDefault="00F51640" w:rsidP="00F51640">
      <w:pPr>
        <w:tabs>
          <w:tab w:val="center" w:pos="1701"/>
          <w:tab w:val="decimal" w:pos="56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E56DA03" w14:textId="77777777" w:rsidR="00F51640" w:rsidRPr="00A335D2" w:rsidRDefault="00F51640" w:rsidP="00F51640">
      <w:pPr>
        <w:tabs>
          <w:tab w:val="center" w:pos="1701"/>
          <w:tab w:val="decimal" w:pos="56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4F67A48" w14:textId="77777777" w:rsidR="00F51640" w:rsidRPr="00A335D2" w:rsidRDefault="00F51640" w:rsidP="00F51640">
      <w:pPr>
        <w:tabs>
          <w:tab w:val="center" w:pos="1701"/>
          <w:tab w:val="decimal" w:pos="567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EBE0A28" w14:textId="77777777" w:rsidR="00F51640" w:rsidRPr="00A335D2" w:rsidRDefault="00F51640" w:rsidP="00F51640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 xml:space="preserve">Jogi ellenjegyző: 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Pénzügyi ellenjegyző:</w:t>
      </w:r>
    </w:p>
    <w:p w14:paraId="2B984685" w14:textId="77777777" w:rsidR="00F51640" w:rsidRPr="00A335D2" w:rsidRDefault="00F51640" w:rsidP="00F51640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BD639AE" w14:textId="77777777" w:rsidR="00F51640" w:rsidRPr="00A335D2" w:rsidRDefault="00F51640" w:rsidP="00F51640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346F8820" w14:textId="77777777" w:rsidR="00F51640" w:rsidRPr="00A335D2" w:rsidRDefault="00F51640" w:rsidP="00F51640">
      <w:pPr>
        <w:tabs>
          <w:tab w:val="center" w:pos="1701"/>
          <w:tab w:val="decimal" w:pos="595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35C60B24" w14:textId="77777777" w:rsidR="00F51640" w:rsidRPr="00A335D2" w:rsidRDefault="00F51640" w:rsidP="00F51640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………………………………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………………………………..</w:t>
      </w:r>
    </w:p>
    <w:p w14:paraId="09A643EA" w14:textId="77777777" w:rsidR="00F51640" w:rsidRPr="00A335D2" w:rsidRDefault="00F51640" w:rsidP="00F51640">
      <w:pPr>
        <w:tabs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Dr. Taba Nikoletta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Laki Csabáné</w:t>
      </w:r>
    </w:p>
    <w:p w14:paraId="4A8827B2" w14:textId="77777777" w:rsidR="00F51640" w:rsidRPr="00A335D2" w:rsidRDefault="00F51640" w:rsidP="00F51640">
      <w:pPr>
        <w:tabs>
          <w:tab w:val="center" w:pos="1701"/>
          <w:tab w:val="left" w:pos="5812"/>
          <w:tab w:val="decimal" w:pos="893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>jegyző</w:t>
      </w:r>
      <w:r w:rsidRPr="00A335D2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  <w:t xml:space="preserve"> pénzügyi irodavezető</w:t>
      </w:r>
    </w:p>
    <w:p w14:paraId="6467C0A3" w14:textId="77777777" w:rsidR="00F51640" w:rsidRDefault="00F51640" w:rsidP="00F51640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18B54A" w14:textId="77777777" w:rsidR="00491C0D" w:rsidRDefault="00491C0D"/>
    <w:sectPr w:rsidR="00491C0D" w:rsidSect="00F51640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71995" w14:textId="77777777" w:rsidR="00F436E8" w:rsidRDefault="00F436E8">
      <w:pPr>
        <w:spacing w:after="0" w:line="240" w:lineRule="auto"/>
      </w:pPr>
      <w:r>
        <w:separator/>
      </w:r>
    </w:p>
  </w:endnote>
  <w:endnote w:type="continuationSeparator" w:id="0">
    <w:p w14:paraId="172B066F" w14:textId="77777777" w:rsidR="00F436E8" w:rsidRDefault="00F4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7B561968" w14:textId="77777777" w:rsidR="000E6F96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119B613" w14:textId="77777777" w:rsidR="000E6F96" w:rsidRDefault="000E6F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F06D" w14:textId="77777777" w:rsidR="000E6F96" w:rsidRDefault="000E6F96" w:rsidP="007748FC">
    <w:pPr>
      <w:pStyle w:val="llb"/>
      <w:jc w:val="center"/>
    </w:pPr>
  </w:p>
  <w:p w14:paraId="6D5B3A6B" w14:textId="77777777" w:rsidR="000E6F96" w:rsidRDefault="000E6F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76923" w14:textId="77777777" w:rsidR="00F436E8" w:rsidRDefault="00F436E8">
      <w:pPr>
        <w:spacing w:after="0" w:line="240" w:lineRule="auto"/>
      </w:pPr>
      <w:r>
        <w:separator/>
      </w:r>
    </w:p>
  </w:footnote>
  <w:footnote w:type="continuationSeparator" w:id="0">
    <w:p w14:paraId="46F8432E" w14:textId="77777777" w:rsidR="00F436E8" w:rsidRDefault="00F43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61008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E6F96"/>
    <w:rsid w:val="00233475"/>
    <w:rsid w:val="003D14E2"/>
    <w:rsid w:val="00454023"/>
    <w:rsid w:val="00491C0D"/>
    <w:rsid w:val="005F4C4B"/>
    <w:rsid w:val="006350AC"/>
    <w:rsid w:val="006608CA"/>
    <w:rsid w:val="007D723B"/>
    <w:rsid w:val="00835D6F"/>
    <w:rsid w:val="009020B9"/>
    <w:rsid w:val="00B2309B"/>
    <w:rsid w:val="00B92882"/>
    <w:rsid w:val="00C32F0F"/>
    <w:rsid w:val="00C94BB0"/>
    <w:rsid w:val="00CC3D56"/>
    <w:rsid w:val="00F23972"/>
    <w:rsid w:val="00F436E8"/>
    <w:rsid w:val="00F5164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F5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1640"/>
    <w:rPr>
      <w:kern w:val="0"/>
      <w:sz w:val="22"/>
      <w:szCs w:val="22"/>
      <w14:ligatures w14:val="none"/>
    </w:rPr>
  </w:style>
  <w:style w:type="character" w:styleId="Oldalszm">
    <w:name w:val="page number"/>
    <w:basedOn w:val="Bekezdsalapbettpusa"/>
    <w:unhideWhenUsed/>
    <w:rsid w:val="00F5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6502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2024-06-25T09:12:00Z</dcterms:created>
  <dcterms:modified xsi:type="dcterms:W3CDTF">2024-06-26T13:17:00Z</dcterms:modified>
</cp:coreProperties>
</file>