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67B6" w14:textId="6939D163" w:rsidR="00E83859" w:rsidRDefault="00E83859" w:rsidP="00E83859">
      <w:pPr>
        <w:pStyle w:val="Listaszerbekezds"/>
        <w:tabs>
          <w:tab w:val="center" w:pos="5812"/>
        </w:tabs>
        <w:spacing w:after="0" w:line="240" w:lineRule="auto"/>
        <w:jc w:val="right"/>
        <w:rPr>
          <w:rFonts w:ascii="Arial" w:hAnsi="Arial" w:cs="Arial"/>
          <w:sz w:val="24"/>
          <w:szCs w:val="24"/>
        </w:rPr>
      </w:pPr>
      <w:r>
        <w:rPr>
          <w:rFonts w:ascii="Arial" w:hAnsi="Arial" w:cs="Arial"/>
          <w:sz w:val="24"/>
          <w:szCs w:val="24"/>
        </w:rPr>
        <w:t xml:space="preserve">melléklet a </w:t>
      </w:r>
      <w:r w:rsidR="00E37B96">
        <w:rPr>
          <w:rFonts w:ascii="Arial" w:hAnsi="Arial" w:cs="Arial"/>
          <w:sz w:val="24"/>
          <w:szCs w:val="24"/>
        </w:rPr>
        <w:t>89</w:t>
      </w:r>
      <w:r>
        <w:rPr>
          <w:rFonts w:ascii="Arial" w:hAnsi="Arial" w:cs="Arial"/>
          <w:sz w:val="24"/>
          <w:szCs w:val="24"/>
        </w:rPr>
        <w:t>/2023 (III.29.) határozathoz</w:t>
      </w:r>
    </w:p>
    <w:p w14:paraId="077B8DE2" w14:textId="77777777" w:rsidR="00E83859" w:rsidRDefault="00E83859" w:rsidP="00E83859">
      <w:pPr>
        <w:tabs>
          <w:tab w:val="center" w:pos="5812"/>
        </w:tabs>
        <w:spacing w:after="0" w:line="240" w:lineRule="auto"/>
        <w:jc w:val="right"/>
        <w:rPr>
          <w:rFonts w:ascii="Arial" w:hAnsi="Arial" w:cs="Arial"/>
          <w:sz w:val="24"/>
          <w:szCs w:val="24"/>
        </w:rPr>
      </w:pPr>
    </w:p>
    <w:p w14:paraId="29FEC5A2" w14:textId="77777777" w:rsidR="00E83859" w:rsidRPr="00B807A5" w:rsidRDefault="00E83859" w:rsidP="00E83859">
      <w:pPr>
        <w:tabs>
          <w:tab w:val="center" w:pos="5812"/>
        </w:tabs>
        <w:spacing w:after="0" w:line="240" w:lineRule="auto"/>
        <w:jc w:val="right"/>
        <w:rPr>
          <w:rFonts w:ascii="Arial" w:hAnsi="Arial" w:cs="Arial"/>
          <w:sz w:val="24"/>
          <w:szCs w:val="24"/>
        </w:rPr>
      </w:pPr>
    </w:p>
    <w:p w14:paraId="2DF0A9F9" w14:textId="77777777" w:rsidR="00E83859" w:rsidRDefault="00E83859" w:rsidP="00E83859">
      <w:pPr>
        <w:spacing w:after="0" w:line="240" w:lineRule="auto"/>
        <w:jc w:val="center"/>
        <w:rPr>
          <w:rFonts w:ascii="Garamond" w:hAnsi="Garamond" w:cs="Tahoma"/>
          <w:b/>
          <w:sz w:val="24"/>
          <w:szCs w:val="24"/>
        </w:rPr>
      </w:pPr>
      <w:r w:rsidRPr="0063057A">
        <w:rPr>
          <w:rFonts w:ascii="Garamond" w:hAnsi="Garamond" w:cs="Tahoma"/>
          <w:b/>
          <w:sz w:val="24"/>
          <w:szCs w:val="24"/>
        </w:rPr>
        <w:t>VÁLLALKOZÁSI SZERZŐDÉS</w:t>
      </w:r>
      <w:r>
        <w:rPr>
          <w:rFonts w:ascii="Garamond" w:hAnsi="Garamond" w:cs="Tahoma"/>
          <w:b/>
          <w:sz w:val="24"/>
          <w:szCs w:val="24"/>
        </w:rPr>
        <w:t xml:space="preserve"> 1. SZ. MÓDOSÍTÁSA</w:t>
      </w:r>
    </w:p>
    <w:p w14:paraId="04B5924C" w14:textId="77777777" w:rsidR="00E83859" w:rsidRPr="00DD752F" w:rsidRDefault="00E83859" w:rsidP="00E83859">
      <w:pPr>
        <w:spacing w:after="0" w:line="240" w:lineRule="auto"/>
        <w:jc w:val="both"/>
        <w:rPr>
          <w:rFonts w:ascii="Garamond" w:hAnsi="Garamond"/>
          <w:sz w:val="24"/>
          <w:szCs w:val="24"/>
          <w:u w:val="single"/>
        </w:rPr>
      </w:pPr>
    </w:p>
    <w:p w14:paraId="44BA231C"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Amely létrejött</w:t>
      </w:r>
    </w:p>
    <w:p w14:paraId="33E1B72C" w14:textId="77777777" w:rsidR="00E83859" w:rsidRPr="00DD752F" w:rsidRDefault="00E83859" w:rsidP="00E83859">
      <w:pPr>
        <w:spacing w:after="0" w:line="240" w:lineRule="auto"/>
        <w:jc w:val="both"/>
        <w:rPr>
          <w:rFonts w:ascii="Garamond" w:eastAsia="Arial Unicode MS" w:hAnsi="Garamond" w:cs="Arial Unicode MS"/>
          <w:sz w:val="24"/>
          <w:szCs w:val="24"/>
        </w:rPr>
      </w:pPr>
    </w:p>
    <w:p w14:paraId="753CF031" w14:textId="77777777" w:rsidR="00E83859" w:rsidRPr="00DD752F" w:rsidRDefault="00E83859" w:rsidP="00E83859">
      <w:pPr>
        <w:tabs>
          <w:tab w:val="left" w:pos="360"/>
        </w:tabs>
        <w:adjustRightInd w:val="0"/>
        <w:spacing w:after="0" w:line="240" w:lineRule="auto"/>
        <w:ind w:left="357" w:hanging="357"/>
        <w:jc w:val="both"/>
        <w:textAlignment w:val="baseline"/>
        <w:rPr>
          <w:rFonts w:ascii="Garamond" w:eastAsia="Arial Unicode MS" w:hAnsi="Garamond" w:cs="Arial Unicode MS"/>
          <w:sz w:val="24"/>
          <w:szCs w:val="24"/>
        </w:rPr>
      </w:pPr>
      <w:r w:rsidRPr="00DD752F">
        <w:rPr>
          <w:rFonts w:ascii="Garamond" w:eastAsia="Arial Unicode MS" w:hAnsi="Garamond" w:cs="Arial Unicode MS"/>
          <w:sz w:val="24"/>
          <w:szCs w:val="24"/>
        </w:rPr>
        <w:t>egyrészről:</w:t>
      </w:r>
    </w:p>
    <w:p w14:paraId="3DD78681" w14:textId="77777777" w:rsidR="00E83859" w:rsidRPr="00DD752F" w:rsidRDefault="00E83859" w:rsidP="00E83859">
      <w:pPr>
        <w:tabs>
          <w:tab w:val="left" w:pos="360"/>
        </w:tabs>
        <w:adjustRightInd w:val="0"/>
        <w:spacing w:after="0" w:line="240" w:lineRule="auto"/>
        <w:jc w:val="both"/>
        <w:textAlignment w:val="baseline"/>
        <w:rPr>
          <w:rFonts w:ascii="Garamond" w:hAnsi="Garamond" w:cs="Tahoma"/>
          <w:b/>
          <w:sz w:val="24"/>
          <w:szCs w:val="24"/>
        </w:rPr>
      </w:pPr>
    </w:p>
    <w:p w14:paraId="104FE2B3" w14:textId="77777777" w:rsidR="00E83859" w:rsidRPr="00DD752F" w:rsidRDefault="00E83859" w:rsidP="00E83859">
      <w:pPr>
        <w:spacing w:after="0" w:line="240" w:lineRule="auto"/>
        <w:jc w:val="both"/>
        <w:rPr>
          <w:rFonts w:ascii="Garamond" w:eastAsia="Arial Unicode MS" w:hAnsi="Garamond" w:cs="Arial Unicode MS"/>
          <w:b/>
          <w:sz w:val="24"/>
          <w:szCs w:val="24"/>
        </w:rPr>
      </w:pPr>
      <w:r w:rsidRPr="00DD752F">
        <w:rPr>
          <w:rFonts w:ascii="Garamond" w:eastAsia="Arial Unicode MS" w:hAnsi="Garamond" w:cs="Arial Unicode MS"/>
          <w:b/>
          <w:sz w:val="24"/>
          <w:szCs w:val="24"/>
        </w:rPr>
        <w:t xml:space="preserve">Mór Városi Önkormányzat </w:t>
      </w:r>
    </w:p>
    <w:p w14:paraId="63B8ACB7" w14:textId="77777777" w:rsidR="00E83859" w:rsidRPr="00DD752F" w:rsidRDefault="00E83859" w:rsidP="00E83859">
      <w:pPr>
        <w:spacing w:after="0" w:line="240" w:lineRule="auto"/>
        <w:jc w:val="both"/>
        <w:rPr>
          <w:rFonts w:ascii="Garamond" w:eastAsia="Arial Unicode MS" w:hAnsi="Garamond" w:cs="Arial Unicode MS"/>
          <w:b/>
          <w:sz w:val="24"/>
          <w:szCs w:val="24"/>
        </w:rPr>
      </w:pPr>
    </w:p>
    <w:p w14:paraId="3EC6D175"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 xml:space="preserve">Székhely: </w:t>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t>8060 Mór, Szent István tér 6.</w:t>
      </w:r>
    </w:p>
    <w:p w14:paraId="6C5E3B56"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 xml:space="preserve">Adószám: </w:t>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t>15727220-2-07</w:t>
      </w:r>
    </w:p>
    <w:p w14:paraId="7617372B"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 xml:space="preserve">Pénzforgalmi számlaszám: </w:t>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t>11600006-00000000-76354634</w:t>
      </w:r>
    </w:p>
    <w:p w14:paraId="73AC603C"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Számlavezető pénzintézet neve:</w:t>
      </w:r>
      <w:r w:rsidRPr="00DD752F">
        <w:rPr>
          <w:rFonts w:ascii="Garamond" w:eastAsia="Arial Unicode MS" w:hAnsi="Garamond" w:cs="Arial Unicode MS"/>
          <w:sz w:val="24"/>
          <w:szCs w:val="24"/>
        </w:rPr>
        <w:tab/>
        <w:t>Erste Bank</w:t>
      </w:r>
    </w:p>
    <w:p w14:paraId="36F4C220" w14:textId="77777777" w:rsidR="00E83859" w:rsidRPr="00DD752F" w:rsidRDefault="00E83859" w:rsidP="00E83859">
      <w:pPr>
        <w:spacing w:after="0" w:line="240" w:lineRule="auto"/>
        <w:jc w:val="both"/>
        <w:rPr>
          <w:rFonts w:ascii="Garamond" w:eastAsia="Arial Unicode MS" w:hAnsi="Garamond" w:cs="Arial Unicode MS"/>
          <w:sz w:val="24"/>
          <w:szCs w:val="24"/>
        </w:rPr>
      </w:pPr>
      <w:r w:rsidRPr="00DD752F">
        <w:rPr>
          <w:rFonts w:ascii="Garamond" w:eastAsia="Arial Unicode MS" w:hAnsi="Garamond" w:cs="Arial Unicode MS"/>
          <w:sz w:val="24"/>
          <w:szCs w:val="24"/>
        </w:rPr>
        <w:t xml:space="preserve">Képviselő neve: </w:t>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r>
      <w:r w:rsidRPr="00DD752F">
        <w:rPr>
          <w:rFonts w:ascii="Garamond" w:eastAsia="Arial Unicode MS" w:hAnsi="Garamond" w:cs="Arial Unicode MS"/>
          <w:sz w:val="24"/>
          <w:szCs w:val="24"/>
        </w:rPr>
        <w:tab/>
        <w:t>Fenyves Péter polgármester</w:t>
      </w:r>
    </w:p>
    <w:p w14:paraId="66C827DB" w14:textId="77777777" w:rsidR="00E83859" w:rsidRPr="00DD752F" w:rsidRDefault="00E83859" w:rsidP="00E83859">
      <w:pPr>
        <w:tabs>
          <w:tab w:val="left" w:pos="360"/>
        </w:tabs>
        <w:adjustRightInd w:val="0"/>
        <w:spacing w:after="0" w:line="240" w:lineRule="auto"/>
        <w:ind w:left="357" w:hanging="357"/>
        <w:jc w:val="both"/>
        <w:textAlignment w:val="baseline"/>
        <w:rPr>
          <w:rFonts w:ascii="Garamond" w:hAnsi="Garamond" w:cs="Tahoma"/>
          <w:b/>
          <w:bCs/>
          <w:sz w:val="24"/>
          <w:szCs w:val="24"/>
        </w:rPr>
      </w:pPr>
    </w:p>
    <w:p w14:paraId="27ADDB6B" w14:textId="77777777" w:rsidR="00E83859" w:rsidRPr="00DD752F" w:rsidRDefault="00E83859" w:rsidP="00E83859">
      <w:pPr>
        <w:tabs>
          <w:tab w:val="left" w:pos="360"/>
        </w:tabs>
        <w:adjustRightInd w:val="0"/>
        <w:spacing w:after="0" w:line="240" w:lineRule="auto"/>
        <w:ind w:left="357" w:hanging="357"/>
        <w:jc w:val="both"/>
        <w:textAlignment w:val="baseline"/>
        <w:rPr>
          <w:rFonts w:ascii="Garamond" w:hAnsi="Garamond" w:cs="Times New Roman"/>
          <w:bCs/>
          <w:sz w:val="24"/>
          <w:szCs w:val="24"/>
        </w:rPr>
      </w:pPr>
      <w:r w:rsidRPr="00DD752F">
        <w:rPr>
          <w:rFonts w:ascii="Garamond" w:hAnsi="Garamond" w:cs="Times New Roman"/>
          <w:bCs/>
          <w:sz w:val="24"/>
          <w:szCs w:val="24"/>
        </w:rPr>
        <w:t xml:space="preserve">továbbiakban, mint </w:t>
      </w:r>
      <w:r w:rsidRPr="00DD752F">
        <w:rPr>
          <w:rFonts w:ascii="Garamond" w:hAnsi="Garamond" w:cs="Times New Roman"/>
          <w:b/>
          <w:bCs/>
          <w:sz w:val="24"/>
          <w:szCs w:val="24"/>
        </w:rPr>
        <w:t>Megrendelő</w:t>
      </w:r>
    </w:p>
    <w:p w14:paraId="53C77010" w14:textId="77777777" w:rsidR="00E83859" w:rsidRPr="00DD752F" w:rsidRDefault="00E83859" w:rsidP="00E83859">
      <w:pPr>
        <w:spacing w:after="0" w:line="240" w:lineRule="auto"/>
        <w:jc w:val="both"/>
        <w:rPr>
          <w:rFonts w:ascii="Garamond" w:hAnsi="Garamond"/>
          <w:b/>
          <w:sz w:val="24"/>
          <w:szCs w:val="24"/>
        </w:rPr>
      </w:pPr>
    </w:p>
    <w:p w14:paraId="2522E7A3" w14:textId="77777777" w:rsidR="00E83859" w:rsidRPr="00DD752F" w:rsidRDefault="00E83859" w:rsidP="00E83859">
      <w:pPr>
        <w:spacing w:after="0" w:line="240" w:lineRule="auto"/>
        <w:jc w:val="both"/>
        <w:rPr>
          <w:rFonts w:ascii="Garamond" w:hAnsi="Garamond"/>
          <w:sz w:val="24"/>
          <w:szCs w:val="24"/>
        </w:rPr>
      </w:pPr>
      <w:r w:rsidRPr="00DD752F">
        <w:rPr>
          <w:rFonts w:ascii="Garamond" w:hAnsi="Garamond"/>
          <w:sz w:val="24"/>
          <w:szCs w:val="24"/>
        </w:rPr>
        <w:t>másrészről:</w:t>
      </w:r>
    </w:p>
    <w:p w14:paraId="471D192D" w14:textId="77777777" w:rsidR="00E83859" w:rsidRPr="00DD752F" w:rsidRDefault="00E83859" w:rsidP="00E83859">
      <w:pPr>
        <w:spacing w:after="0" w:line="240" w:lineRule="auto"/>
        <w:jc w:val="both"/>
        <w:rPr>
          <w:rFonts w:ascii="Garamond" w:hAnsi="Garamond"/>
          <w:sz w:val="24"/>
          <w:szCs w:val="24"/>
        </w:rPr>
      </w:pPr>
    </w:p>
    <w:p w14:paraId="425BBFB2" w14:textId="77777777" w:rsidR="00E83859" w:rsidRPr="00DD752F" w:rsidRDefault="00E83859" w:rsidP="00E83859">
      <w:pPr>
        <w:spacing w:after="0" w:line="240" w:lineRule="auto"/>
        <w:jc w:val="both"/>
        <w:rPr>
          <w:rFonts w:ascii="Garamond" w:hAnsi="Garamond" w:cs="Tahoma"/>
          <w:b/>
          <w:sz w:val="24"/>
          <w:szCs w:val="24"/>
          <w:shd w:val="clear" w:color="auto" w:fill="D9D9D9"/>
        </w:rPr>
      </w:pPr>
      <w:r w:rsidRPr="00DD752F">
        <w:rPr>
          <w:rFonts w:ascii="Garamond" w:hAnsi="Garamond" w:cs="Tahoma"/>
          <w:b/>
          <w:sz w:val="24"/>
          <w:szCs w:val="24"/>
        </w:rPr>
        <w:t>BUILD IT Mérnökiroda Korlátolt Felelősségű Társaság</w:t>
      </w:r>
    </w:p>
    <w:p w14:paraId="54D5DC2A" w14:textId="77777777" w:rsidR="00E83859" w:rsidRPr="00DD752F" w:rsidRDefault="00E83859" w:rsidP="00E83859">
      <w:pPr>
        <w:spacing w:after="0" w:line="240" w:lineRule="auto"/>
        <w:jc w:val="both"/>
        <w:rPr>
          <w:rFonts w:ascii="Garamond" w:hAnsi="Garamond" w:cs="Tahoma"/>
          <w:sz w:val="24"/>
          <w:szCs w:val="24"/>
          <w:shd w:val="clear" w:color="auto" w:fill="F2F2F2"/>
        </w:rPr>
      </w:pPr>
    </w:p>
    <w:p w14:paraId="2B6C228F"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Képviseli: </w:t>
      </w:r>
      <w:r w:rsidRPr="00DD752F">
        <w:rPr>
          <w:rFonts w:ascii="Garamond" w:hAnsi="Garamond" w:cs="Times New Roman"/>
          <w:bCs/>
          <w:sz w:val="24"/>
          <w:szCs w:val="24"/>
        </w:rPr>
        <w:tab/>
        <w:t>Sárkány Márk ügyvezető</w:t>
      </w:r>
    </w:p>
    <w:p w14:paraId="6E767F9E"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Székhelye: </w:t>
      </w:r>
      <w:r w:rsidRPr="00DD752F">
        <w:rPr>
          <w:rFonts w:ascii="Garamond" w:hAnsi="Garamond" w:cs="Times New Roman"/>
          <w:bCs/>
          <w:sz w:val="24"/>
          <w:szCs w:val="24"/>
        </w:rPr>
        <w:tab/>
        <w:t xml:space="preserve">1037 Budapest, Bóbita utca 2. </w:t>
      </w:r>
      <w:proofErr w:type="gramStart"/>
      <w:r w:rsidRPr="00DD752F">
        <w:rPr>
          <w:rFonts w:ascii="Garamond" w:hAnsi="Garamond" w:cs="Times New Roman"/>
          <w:bCs/>
          <w:sz w:val="24"/>
          <w:szCs w:val="24"/>
        </w:rPr>
        <w:t>E.lház</w:t>
      </w:r>
      <w:proofErr w:type="gramEnd"/>
      <w:r w:rsidRPr="00DD752F">
        <w:rPr>
          <w:rFonts w:ascii="Garamond" w:hAnsi="Garamond" w:cs="Times New Roman"/>
          <w:bCs/>
          <w:sz w:val="24"/>
          <w:szCs w:val="24"/>
        </w:rPr>
        <w:t>. 1. em.</w:t>
      </w:r>
    </w:p>
    <w:p w14:paraId="530ACF07"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Cégjegyzékszám:</w:t>
      </w:r>
      <w:r w:rsidRPr="00DD752F">
        <w:rPr>
          <w:rFonts w:ascii="Garamond" w:hAnsi="Garamond" w:cs="Times New Roman"/>
          <w:bCs/>
          <w:sz w:val="24"/>
          <w:szCs w:val="24"/>
        </w:rPr>
        <w:tab/>
        <w:t>Cg.</w:t>
      </w:r>
      <w:bookmarkStart w:id="0" w:name="_Hlk124928967"/>
      <w:r w:rsidRPr="00DD752F">
        <w:rPr>
          <w:rFonts w:ascii="Garamond" w:hAnsi="Garamond" w:cs="Times New Roman"/>
          <w:bCs/>
          <w:sz w:val="24"/>
          <w:szCs w:val="24"/>
        </w:rPr>
        <w:t>01-09-932166</w:t>
      </w:r>
      <w:bookmarkEnd w:id="0"/>
    </w:p>
    <w:p w14:paraId="60B5187B"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Adószám: </w:t>
      </w:r>
      <w:r w:rsidRPr="00DD752F">
        <w:rPr>
          <w:rFonts w:ascii="Garamond" w:hAnsi="Garamond" w:cs="Times New Roman"/>
          <w:bCs/>
          <w:sz w:val="24"/>
          <w:szCs w:val="24"/>
        </w:rPr>
        <w:tab/>
        <w:t>11732167-2-41</w:t>
      </w:r>
    </w:p>
    <w:p w14:paraId="1E7917D4"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Bankszámlaszám:</w:t>
      </w:r>
      <w:r w:rsidRPr="00DD752F">
        <w:rPr>
          <w:rFonts w:ascii="Garamond" w:hAnsi="Garamond" w:cs="Times New Roman"/>
          <w:bCs/>
          <w:sz w:val="24"/>
          <w:szCs w:val="24"/>
        </w:rPr>
        <w:tab/>
        <w:t>Takarékbank 52500075-12500954-00000000</w:t>
      </w:r>
    </w:p>
    <w:p w14:paraId="2693DE22"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Nyilvántartási szám: </w:t>
      </w:r>
      <w:r w:rsidRPr="00DD752F">
        <w:rPr>
          <w:rFonts w:ascii="Garamond" w:hAnsi="Garamond" w:cs="Times New Roman"/>
          <w:bCs/>
          <w:sz w:val="24"/>
          <w:szCs w:val="24"/>
        </w:rPr>
        <w:tab/>
        <w:t>11732167-4299-113-01</w:t>
      </w:r>
    </w:p>
    <w:p w14:paraId="11BD8816"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Telefon: </w:t>
      </w:r>
      <w:r w:rsidRPr="00DD752F">
        <w:rPr>
          <w:rFonts w:ascii="Garamond" w:hAnsi="Garamond" w:cs="Times New Roman"/>
          <w:bCs/>
          <w:sz w:val="24"/>
          <w:szCs w:val="24"/>
        </w:rPr>
        <w:tab/>
        <w:t>+36 30 423 9650</w:t>
      </w:r>
    </w:p>
    <w:p w14:paraId="2F1A5D47" w14:textId="77777777" w:rsidR="00E83859" w:rsidRPr="00DD752F" w:rsidRDefault="00E83859" w:rsidP="00E83859">
      <w:pPr>
        <w:tabs>
          <w:tab w:val="left" w:pos="2127"/>
        </w:tabs>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Telefax: </w:t>
      </w:r>
      <w:r w:rsidRPr="00DD752F">
        <w:rPr>
          <w:rFonts w:ascii="Garamond" w:hAnsi="Garamond" w:cs="Times New Roman"/>
          <w:bCs/>
          <w:sz w:val="24"/>
          <w:szCs w:val="24"/>
        </w:rPr>
        <w:tab/>
        <w:t>-</w:t>
      </w:r>
    </w:p>
    <w:p w14:paraId="217949DB" w14:textId="77777777" w:rsidR="00E83859" w:rsidRPr="00DD752F" w:rsidRDefault="00E83859" w:rsidP="00E83859">
      <w:pPr>
        <w:tabs>
          <w:tab w:val="left" w:pos="360"/>
          <w:tab w:val="left" w:pos="2127"/>
        </w:tabs>
        <w:adjustRightInd w:val="0"/>
        <w:spacing w:after="0" w:line="240" w:lineRule="auto"/>
        <w:ind w:left="357" w:hanging="357"/>
        <w:jc w:val="both"/>
        <w:textAlignment w:val="baseline"/>
        <w:rPr>
          <w:rFonts w:ascii="Garamond" w:hAnsi="Garamond" w:cs="Times New Roman"/>
          <w:sz w:val="24"/>
          <w:szCs w:val="24"/>
        </w:rPr>
      </w:pPr>
      <w:r w:rsidRPr="00DD752F">
        <w:rPr>
          <w:rFonts w:ascii="Garamond" w:hAnsi="Garamond" w:cs="Times New Roman"/>
          <w:bCs/>
          <w:sz w:val="24"/>
          <w:szCs w:val="24"/>
        </w:rPr>
        <w:t xml:space="preserve">E-mail: </w:t>
      </w:r>
      <w:r w:rsidRPr="00DD752F">
        <w:rPr>
          <w:rFonts w:ascii="Garamond" w:hAnsi="Garamond" w:cs="Times New Roman"/>
          <w:bCs/>
          <w:sz w:val="24"/>
          <w:szCs w:val="24"/>
        </w:rPr>
        <w:tab/>
        <w:t>mor@buld-it.hu</w:t>
      </w:r>
    </w:p>
    <w:p w14:paraId="451320F6" w14:textId="77777777" w:rsidR="00E83859" w:rsidRPr="00DD752F" w:rsidRDefault="00E83859" w:rsidP="00E83859">
      <w:pPr>
        <w:spacing w:after="0" w:line="240" w:lineRule="auto"/>
        <w:jc w:val="both"/>
        <w:rPr>
          <w:rFonts w:ascii="Garamond" w:hAnsi="Garamond" w:cs="Times New Roman"/>
          <w:bCs/>
          <w:sz w:val="24"/>
          <w:szCs w:val="24"/>
        </w:rPr>
      </w:pPr>
    </w:p>
    <w:p w14:paraId="09E4655F" w14:textId="77777777" w:rsidR="00E83859" w:rsidRPr="00DD752F" w:rsidRDefault="00E83859" w:rsidP="00E83859">
      <w:pPr>
        <w:spacing w:after="0" w:line="240" w:lineRule="auto"/>
        <w:jc w:val="both"/>
        <w:rPr>
          <w:rFonts w:ascii="Garamond" w:hAnsi="Garamond" w:cs="Times New Roman"/>
          <w:bCs/>
          <w:sz w:val="24"/>
          <w:szCs w:val="24"/>
        </w:rPr>
      </w:pPr>
      <w:r w:rsidRPr="00DD752F">
        <w:rPr>
          <w:rFonts w:ascii="Garamond" w:hAnsi="Garamond" w:cs="Times New Roman"/>
          <w:bCs/>
          <w:sz w:val="24"/>
          <w:szCs w:val="24"/>
        </w:rPr>
        <w:t xml:space="preserve">a továbbiakban, mint </w:t>
      </w:r>
      <w:r w:rsidRPr="00DD752F">
        <w:rPr>
          <w:rFonts w:ascii="Garamond" w:hAnsi="Garamond" w:cs="Times New Roman"/>
          <w:b/>
          <w:bCs/>
          <w:sz w:val="24"/>
          <w:szCs w:val="24"/>
        </w:rPr>
        <w:t>Vállalkozó</w:t>
      </w:r>
      <w:r w:rsidRPr="00DD752F">
        <w:rPr>
          <w:rFonts w:ascii="Garamond" w:hAnsi="Garamond"/>
          <w:b/>
          <w:sz w:val="24"/>
          <w:szCs w:val="24"/>
        </w:rPr>
        <w:t>,</w:t>
      </w:r>
      <w:r w:rsidRPr="00DD752F">
        <w:rPr>
          <w:rFonts w:ascii="Garamond" w:hAnsi="Garamond" w:cs="Times New Roman"/>
          <w:bCs/>
          <w:sz w:val="24"/>
          <w:szCs w:val="24"/>
        </w:rPr>
        <w:t xml:space="preserve"> </w:t>
      </w:r>
    </w:p>
    <w:p w14:paraId="1A11A57C" w14:textId="77777777" w:rsidR="00E83859" w:rsidRPr="00DD752F" w:rsidRDefault="00E83859" w:rsidP="00E83859">
      <w:pPr>
        <w:spacing w:after="0" w:line="240" w:lineRule="auto"/>
        <w:jc w:val="both"/>
        <w:rPr>
          <w:rFonts w:ascii="Garamond" w:hAnsi="Garamond"/>
          <w:sz w:val="24"/>
          <w:szCs w:val="24"/>
        </w:rPr>
      </w:pPr>
    </w:p>
    <w:p w14:paraId="320653D3" w14:textId="77777777" w:rsidR="00E83859" w:rsidRPr="00DD752F" w:rsidRDefault="00E83859" w:rsidP="00E83859">
      <w:pPr>
        <w:spacing w:after="0" w:line="240" w:lineRule="auto"/>
        <w:jc w:val="both"/>
        <w:rPr>
          <w:rFonts w:ascii="Garamond" w:hAnsi="Garamond" w:cs="Times New Roman"/>
          <w:sz w:val="24"/>
          <w:szCs w:val="24"/>
        </w:rPr>
      </w:pPr>
      <w:r w:rsidRPr="00DD752F">
        <w:rPr>
          <w:rFonts w:ascii="Garamond" w:hAnsi="Garamond" w:cs="Times New Roman"/>
          <w:bCs/>
          <w:sz w:val="24"/>
          <w:szCs w:val="24"/>
        </w:rPr>
        <w:t xml:space="preserve">(a továbbiakban együttesen: </w:t>
      </w:r>
      <w:r w:rsidRPr="00DD752F">
        <w:rPr>
          <w:rFonts w:ascii="Garamond" w:hAnsi="Garamond"/>
          <w:sz w:val="24"/>
          <w:szCs w:val="24"/>
        </w:rPr>
        <w:t>Felek</w:t>
      </w:r>
      <w:r w:rsidRPr="00DD752F">
        <w:rPr>
          <w:rFonts w:ascii="Garamond" w:hAnsi="Garamond" w:cs="Times New Roman"/>
          <w:bCs/>
          <w:sz w:val="24"/>
          <w:szCs w:val="24"/>
        </w:rPr>
        <w:t>, illetve Szerződő felek)</w:t>
      </w:r>
    </w:p>
    <w:p w14:paraId="37CA8DF5" w14:textId="77777777" w:rsidR="00E83859" w:rsidRPr="00DD752F" w:rsidRDefault="00E83859" w:rsidP="00E83859">
      <w:pPr>
        <w:spacing w:after="0" w:line="240" w:lineRule="auto"/>
        <w:jc w:val="both"/>
        <w:rPr>
          <w:rFonts w:ascii="Garamond" w:hAnsi="Garamond"/>
          <w:sz w:val="24"/>
          <w:szCs w:val="24"/>
        </w:rPr>
      </w:pPr>
    </w:p>
    <w:p w14:paraId="70B4D4B4" w14:textId="77777777" w:rsidR="00E83859" w:rsidRPr="00DD752F" w:rsidRDefault="00E83859" w:rsidP="00E83859">
      <w:pPr>
        <w:spacing w:after="0" w:line="240" w:lineRule="auto"/>
        <w:jc w:val="both"/>
        <w:rPr>
          <w:rFonts w:ascii="Garamond" w:hAnsi="Garamond" w:cs="Times New Roman"/>
          <w:sz w:val="24"/>
          <w:szCs w:val="24"/>
        </w:rPr>
      </w:pPr>
      <w:r w:rsidRPr="00DD752F">
        <w:rPr>
          <w:rFonts w:ascii="Garamond" w:hAnsi="Garamond" w:cs="Times New Roman"/>
          <w:sz w:val="24"/>
          <w:szCs w:val="24"/>
        </w:rPr>
        <w:t>között az alulírott helyen és napon, az alábbi feltételekkel.</w:t>
      </w:r>
    </w:p>
    <w:p w14:paraId="64510263" w14:textId="77777777" w:rsidR="00E83859" w:rsidRPr="00DD752F" w:rsidRDefault="00E83859" w:rsidP="00E83859">
      <w:pPr>
        <w:spacing w:after="0" w:line="240" w:lineRule="auto"/>
        <w:jc w:val="both"/>
        <w:rPr>
          <w:rFonts w:ascii="Garamond" w:hAnsi="Garamond"/>
          <w:sz w:val="24"/>
          <w:szCs w:val="24"/>
        </w:rPr>
      </w:pPr>
    </w:p>
    <w:p w14:paraId="12D579B1" w14:textId="77777777" w:rsidR="00E83859" w:rsidRPr="00DD752F" w:rsidRDefault="00E83859" w:rsidP="00E83859">
      <w:pPr>
        <w:spacing w:after="0" w:line="240" w:lineRule="auto"/>
        <w:jc w:val="both"/>
        <w:rPr>
          <w:rFonts w:ascii="Garamond" w:hAnsi="Garamond"/>
          <w:sz w:val="24"/>
          <w:szCs w:val="24"/>
        </w:rPr>
      </w:pPr>
    </w:p>
    <w:p w14:paraId="22AA3A18" w14:textId="77777777" w:rsidR="00E83859" w:rsidRPr="00DD752F" w:rsidRDefault="00E83859" w:rsidP="00E83859">
      <w:pPr>
        <w:pStyle w:val="Listaszerbekezds"/>
        <w:numPr>
          <w:ilvl w:val="0"/>
          <w:numId w:val="2"/>
        </w:numPr>
        <w:spacing w:after="0" w:line="240" w:lineRule="auto"/>
        <w:ind w:left="709" w:hanging="709"/>
        <w:jc w:val="both"/>
        <w:rPr>
          <w:rFonts w:ascii="Garamond" w:hAnsi="Garamond"/>
          <w:b/>
          <w:sz w:val="24"/>
          <w:szCs w:val="24"/>
          <w:u w:val="single"/>
        </w:rPr>
      </w:pPr>
      <w:r w:rsidRPr="00DD752F">
        <w:rPr>
          <w:rFonts w:ascii="Garamond" w:hAnsi="Garamond"/>
          <w:b/>
          <w:sz w:val="24"/>
          <w:szCs w:val="24"/>
          <w:u w:val="single"/>
        </w:rPr>
        <w:t>Előzmények</w:t>
      </w:r>
    </w:p>
    <w:p w14:paraId="7783666F" w14:textId="77777777" w:rsidR="00E83859" w:rsidRPr="00DD752F" w:rsidRDefault="00E83859" w:rsidP="00E83859">
      <w:pPr>
        <w:spacing w:after="0" w:line="240" w:lineRule="auto"/>
        <w:jc w:val="both"/>
        <w:rPr>
          <w:rFonts w:ascii="Garamond" w:hAnsi="Garamond"/>
          <w:sz w:val="24"/>
          <w:szCs w:val="24"/>
        </w:rPr>
      </w:pPr>
    </w:p>
    <w:p w14:paraId="06FDA79D" w14:textId="77777777" w:rsidR="00E83859" w:rsidRPr="00DD752F" w:rsidRDefault="00E83859" w:rsidP="00E83859">
      <w:pPr>
        <w:pStyle w:val="Listaszerbekezds"/>
        <w:widowControl w:val="0"/>
        <w:numPr>
          <w:ilvl w:val="0"/>
          <w:numId w:val="1"/>
        </w:numPr>
        <w:autoSpaceDE w:val="0"/>
        <w:autoSpaceDN w:val="0"/>
        <w:spacing w:after="0" w:line="240" w:lineRule="auto"/>
        <w:ind w:hanging="720"/>
        <w:jc w:val="both"/>
        <w:rPr>
          <w:rFonts w:ascii="Garamond" w:hAnsi="Garamond" w:cs="Arial"/>
          <w:sz w:val="24"/>
          <w:szCs w:val="24"/>
        </w:rPr>
      </w:pPr>
      <w:r w:rsidRPr="00DD752F">
        <w:rPr>
          <w:rFonts w:ascii="Garamond" w:hAnsi="Garamond" w:cs="Arial"/>
          <w:sz w:val="24"/>
          <w:szCs w:val="24"/>
        </w:rPr>
        <w:t xml:space="preserve">Megrendelő, </w:t>
      </w:r>
      <w:r w:rsidRPr="00DD752F">
        <w:rPr>
          <w:rFonts w:ascii="Garamond" w:hAnsi="Garamond"/>
          <w:sz w:val="24"/>
          <w:szCs w:val="24"/>
        </w:rPr>
        <w:t xml:space="preserve">mint Ajánlatkérő a közbeszerzésekről szóló 2015. évi CXLIII. törvény (a továbbiakban: Kbt.) rendelkezései alapján </w:t>
      </w:r>
      <w:r w:rsidRPr="00DD752F">
        <w:rPr>
          <w:rFonts w:ascii="Garamond" w:hAnsi="Garamond"/>
          <w:i/>
          <w:sz w:val="24"/>
          <w:szCs w:val="24"/>
        </w:rPr>
        <w:t>„Mór városi piac kivitelezése”</w:t>
      </w:r>
      <w:r w:rsidRPr="00DD752F">
        <w:rPr>
          <w:rFonts w:ascii="Garamond" w:hAnsi="Garamond"/>
          <w:sz w:val="24"/>
          <w:szCs w:val="24"/>
        </w:rPr>
        <w:t xml:space="preserve"> tárgyában az Európai Unió Hivatalos Lapjában 2021/S 043-106478 számon 2021. március 03. napján megjelent ajánlati felhívást tartalmazó hirdetménnyel uniós eljárásrend szerinti, nyílt közbeszerzési eljárást indított.</w:t>
      </w:r>
    </w:p>
    <w:p w14:paraId="4C13EC1B" w14:textId="77777777" w:rsidR="00E83859" w:rsidRPr="00DD752F" w:rsidRDefault="00E83859" w:rsidP="00E83859">
      <w:pPr>
        <w:pStyle w:val="Listaszerbekezds"/>
        <w:widowControl w:val="0"/>
        <w:autoSpaceDE w:val="0"/>
        <w:autoSpaceDN w:val="0"/>
        <w:spacing w:after="0" w:line="240" w:lineRule="auto"/>
        <w:jc w:val="both"/>
        <w:rPr>
          <w:rFonts w:ascii="Garamond" w:hAnsi="Garamond"/>
          <w:sz w:val="24"/>
          <w:szCs w:val="24"/>
        </w:rPr>
      </w:pPr>
    </w:p>
    <w:p w14:paraId="335598E2" w14:textId="77777777" w:rsidR="00E83859" w:rsidRPr="00DD752F" w:rsidRDefault="00E83859" w:rsidP="00E83859">
      <w:pPr>
        <w:spacing w:after="0" w:line="240" w:lineRule="auto"/>
        <w:ind w:left="709" w:hanging="709"/>
        <w:jc w:val="both"/>
        <w:rPr>
          <w:rFonts w:ascii="Garamond" w:hAnsi="Garamond"/>
          <w:bCs/>
          <w:color w:val="000000"/>
          <w:sz w:val="24"/>
          <w:szCs w:val="24"/>
        </w:rPr>
      </w:pPr>
      <w:r w:rsidRPr="00DD752F">
        <w:rPr>
          <w:rFonts w:ascii="Garamond" w:hAnsi="Garamond"/>
          <w:sz w:val="24"/>
          <w:szCs w:val="24"/>
        </w:rPr>
        <w:t xml:space="preserve">2./ </w:t>
      </w:r>
      <w:r w:rsidRPr="00DD752F">
        <w:rPr>
          <w:rFonts w:ascii="Garamond" w:hAnsi="Garamond"/>
          <w:sz w:val="24"/>
          <w:szCs w:val="24"/>
        </w:rPr>
        <w:tab/>
        <w:t xml:space="preserve">A közbeszerzési eljárás eredményeként Vállalkozó került Nyertes Ajánlattevőként kihirdetésre a 2021. július 9. napján megküldött, az eljárás eredményéről szóló összegezés tanúsága szerint. Erre tekintettel a Felek 2021. szeptember 6. napján vállalkozási szerződést </w:t>
      </w:r>
      <w:r w:rsidRPr="00DD752F">
        <w:rPr>
          <w:rFonts w:ascii="Garamond" w:hAnsi="Garamond"/>
          <w:sz w:val="24"/>
          <w:szCs w:val="24"/>
        </w:rPr>
        <w:lastRenderedPageBreak/>
        <w:t xml:space="preserve">kötöttek (a továbbiakban: Szerződés). </w:t>
      </w:r>
      <w:r w:rsidRPr="00DD752F">
        <w:rPr>
          <w:rFonts w:ascii="Garamond" w:hAnsi="Garamond"/>
          <w:bCs/>
          <w:color w:val="000000"/>
          <w:sz w:val="24"/>
          <w:szCs w:val="24"/>
        </w:rPr>
        <w:t>Megrendelő többlettámogatási kérelmet nyújtott be az egész beruházás, és annak részeként a Szerződés finanszírozására, és</w:t>
      </w:r>
      <w:r w:rsidRPr="00DD752F">
        <w:rPr>
          <w:rFonts w:ascii="Garamond" w:hAnsi="Garamond"/>
          <w:sz w:val="24"/>
          <w:szCs w:val="24"/>
        </w:rPr>
        <w:t xml:space="preserve"> a szerződés hatályát az érintett projektek többletforrás-igényei alapján módosított támogatási szerződések kézhezvételéhez, és a Vállalkozó erről történő tájékoztatásához kötötték a Felek. A szerződés hatályba lépésének dátuma ennek megfelelően 2022. február 23.</w:t>
      </w:r>
    </w:p>
    <w:p w14:paraId="75D6DE1B" w14:textId="77777777" w:rsidR="00E83859" w:rsidRPr="00DD752F" w:rsidRDefault="00E83859" w:rsidP="00E83859">
      <w:pPr>
        <w:spacing w:after="0" w:line="240" w:lineRule="auto"/>
        <w:jc w:val="both"/>
        <w:rPr>
          <w:rFonts w:ascii="Garamond" w:hAnsi="Garamond"/>
          <w:sz w:val="24"/>
          <w:szCs w:val="24"/>
        </w:rPr>
      </w:pPr>
    </w:p>
    <w:p w14:paraId="4F13A100" w14:textId="77777777" w:rsidR="00E83859" w:rsidRPr="00DD752F" w:rsidRDefault="00E83859" w:rsidP="00E83859">
      <w:pPr>
        <w:pStyle w:val="Listaszerbekezds"/>
        <w:numPr>
          <w:ilvl w:val="0"/>
          <w:numId w:val="2"/>
        </w:numPr>
        <w:spacing w:after="0" w:line="240" w:lineRule="auto"/>
        <w:ind w:left="709" w:hanging="709"/>
        <w:jc w:val="both"/>
        <w:rPr>
          <w:rFonts w:ascii="Garamond" w:hAnsi="Garamond"/>
          <w:b/>
          <w:sz w:val="24"/>
          <w:szCs w:val="24"/>
          <w:u w:val="single"/>
        </w:rPr>
      </w:pPr>
      <w:r w:rsidRPr="00DD752F">
        <w:rPr>
          <w:rFonts w:ascii="Garamond" w:hAnsi="Garamond"/>
          <w:b/>
          <w:sz w:val="24"/>
          <w:szCs w:val="24"/>
          <w:u w:val="single"/>
        </w:rPr>
        <w:t>A szerződésmódosítás tárgya és indoka</w:t>
      </w:r>
    </w:p>
    <w:p w14:paraId="3F146C1E" w14:textId="77777777" w:rsidR="00E83859" w:rsidRPr="00DD752F" w:rsidRDefault="00E83859" w:rsidP="00E83859">
      <w:pPr>
        <w:pStyle w:val="Listaszerbekezds"/>
        <w:spacing w:after="0" w:line="240" w:lineRule="auto"/>
        <w:ind w:left="709"/>
        <w:jc w:val="both"/>
        <w:rPr>
          <w:rFonts w:ascii="Garamond" w:hAnsi="Garamond"/>
          <w:b/>
          <w:sz w:val="24"/>
          <w:szCs w:val="24"/>
          <w:u w:val="single"/>
        </w:rPr>
      </w:pPr>
    </w:p>
    <w:p w14:paraId="0D84A30D" w14:textId="77777777" w:rsidR="00E83859" w:rsidRPr="00DD752F" w:rsidRDefault="00E83859" w:rsidP="00E83859">
      <w:pPr>
        <w:pStyle w:val="Listaszerbekezds"/>
        <w:spacing w:after="0" w:line="240" w:lineRule="auto"/>
        <w:ind w:left="709" w:hanging="709"/>
        <w:jc w:val="both"/>
        <w:rPr>
          <w:rFonts w:ascii="Garamond" w:hAnsi="Garamond"/>
          <w:sz w:val="24"/>
          <w:szCs w:val="24"/>
        </w:rPr>
      </w:pPr>
      <w:r w:rsidRPr="00DD752F">
        <w:rPr>
          <w:rFonts w:ascii="Garamond" w:hAnsi="Garamond"/>
          <w:bCs/>
          <w:color w:val="000000"/>
          <w:sz w:val="24"/>
          <w:szCs w:val="24"/>
        </w:rPr>
        <w:t>1./</w:t>
      </w:r>
      <w:r w:rsidRPr="00DD752F">
        <w:rPr>
          <w:rFonts w:ascii="Garamond" w:hAnsi="Garamond"/>
          <w:bCs/>
          <w:color w:val="000000"/>
          <w:sz w:val="24"/>
          <w:szCs w:val="24"/>
        </w:rPr>
        <w:tab/>
        <w:t xml:space="preserve"> </w:t>
      </w:r>
      <w:r w:rsidRPr="00DD752F">
        <w:rPr>
          <w:rFonts w:ascii="Garamond" w:hAnsi="Garamond"/>
          <w:sz w:val="24"/>
          <w:szCs w:val="24"/>
        </w:rPr>
        <w:t xml:space="preserve">A szerződést Felek a Kbt. 141. § (4) bekezdés c) pontja alapján az alábbiak szerint módosítják. </w:t>
      </w:r>
    </w:p>
    <w:p w14:paraId="346FEFA2" w14:textId="77777777" w:rsidR="00E83859" w:rsidRPr="00DD752F" w:rsidRDefault="00E83859" w:rsidP="00E83859">
      <w:pPr>
        <w:spacing w:after="0" w:line="240" w:lineRule="auto"/>
        <w:jc w:val="both"/>
        <w:rPr>
          <w:rFonts w:ascii="Garamond" w:hAnsi="Garamond"/>
          <w:b/>
          <w:color w:val="000000"/>
          <w:sz w:val="24"/>
          <w:szCs w:val="24"/>
        </w:rPr>
      </w:pPr>
    </w:p>
    <w:p w14:paraId="4548DF63" w14:textId="77777777" w:rsidR="00E83859" w:rsidRPr="00DD752F" w:rsidRDefault="00E83859" w:rsidP="00E83859">
      <w:pPr>
        <w:pStyle w:val="Listaszerbekezds"/>
        <w:spacing w:after="0" w:line="240" w:lineRule="auto"/>
        <w:ind w:hanging="720"/>
        <w:jc w:val="both"/>
        <w:rPr>
          <w:rFonts w:ascii="Garamond" w:hAnsi="Garamond"/>
          <w:bCs/>
          <w:color w:val="000000"/>
          <w:sz w:val="24"/>
          <w:szCs w:val="24"/>
        </w:rPr>
      </w:pPr>
      <w:r w:rsidRPr="00DD752F">
        <w:rPr>
          <w:rFonts w:ascii="Garamond" w:hAnsi="Garamond"/>
          <w:bCs/>
          <w:color w:val="000000"/>
          <w:sz w:val="24"/>
          <w:szCs w:val="24"/>
        </w:rPr>
        <w:t>2./</w:t>
      </w:r>
      <w:r w:rsidRPr="00DD752F">
        <w:rPr>
          <w:rFonts w:ascii="Garamond" w:hAnsi="Garamond"/>
          <w:bCs/>
          <w:color w:val="000000"/>
          <w:sz w:val="24"/>
          <w:szCs w:val="24"/>
        </w:rPr>
        <w:tab/>
        <w:t xml:space="preserve"> Felek rögzítik, hogy az alapszerződés jelen szerződés módosítás aláírásának időpontjában hatályban van. </w:t>
      </w:r>
    </w:p>
    <w:p w14:paraId="17AEA206" w14:textId="77777777" w:rsidR="00E83859" w:rsidRPr="00DD752F" w:rsidRDefault="00E83859" w:rsidP="00E83859">
      <w:pPr>
        <w:spacing w:after="0" w:line="240" w:lineRule="auto"/>
        <w:jc w:val="both"/>
        <w:rPr>
          <w:rFonts w:ascii="Garamond" w:hAnsi="Garamond"/>
          <w:bCs/>
          <w:color w:val="000000"/>
          <w:sz w:val="24"/>
          <w:szCs w:val="24"/>
        </w:rPr>
      </w:pPr>
    </w:p>
    <w:p w14:paraId="218A777B" w14:textId="77777777" w:rsidR="00E83859" w:rsidRPr="00DD752F" w:rsidRDefault="00E83859" w:rsidP="00E83859">
      <w:pPr>
        <w:spacing w:after="0" w:line="240" w:lineRule="auto"/>
        <w:jc w:val="both"/>
        <w:rPr>
          <w:rFonts w:ascii="Garamond" w:hAnsi="Garamond"/>
          <w:bCs/>
          <w:color w:val="000000"/>
          <w:sz w:val="24"/>
          <w:szCs w:val="24"/>
        </w:rPr>
      </w:pPr>
      <w:r w:rsidRPr="00DD752F">
        <w:rPr>
          <w:rFonts w:ascii="Garamond" w:hAnsi="Garamond"/>
          <w:bCs/>
          <w:color w:val="000000"/>
          <w:sz w:val="24"/>
          <w:szCs w:val="24"/>
        </w:rPr>
        <w:t>3./</w:t>
      </w:r>
      <w:r w:rsidRPr="00DD752F">
        <w:rPr>
          <w:rFonts w:ascii="Garamond" w:hAnsi="Garamond"/>
          <w:bCs/>
          <w:color w:val="000000"/>
          <w:sz w:val="24"/>
          <w:szCs w:val="24"/>
        </w:rPr>
        <w:tab/>
        <w:t xml:space="preserve"> Felek rögzítik, hogy az alábbi okok miatt szükséges az árra vonatkozó szerződésmódosítás.</w:t>
      </w:r>
    </w:p>
    <w:p w14:paraId="58165F1B"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Kbt. 141. § (2) bekezdése nem alkalmazható, mert az ár módosításának mértéke meghaladja a 15%-ot.</w:t>
      </w:r>
    </w:p>
    <w:p w14:paraId="6D4B7C34" w14:textId="77777777" w:rsidR="00E83859" w:rsidRPr="00DD752F" w:rsidRDefault="00E83859" w:rsidP="00E83859">
      <w:pPr>
        <w:spacing w:after="0" w:line="240" w:lineRule="auto"/>
        <w:jc w:val="both"/>
        <w:rPr>
          <w:rFonts w:ascii="Garamond" w:hAnsi="Garamond"/>
          <w:bCs/>
          <w:color w:val="000000"/>
          <w:sz w:val="24"/>
          <w:szCs w:val="24"/>
        </w:rPr>
      </w:pPr>
    </w:p>
    <w:p w14:paraId="03E8B83A"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Vállalkozó jelezte, hogy az eltelt időszakban és a szerződés hatályba lépése óta az építőanyagárak és a kivitelezés költségei jelentősen megemelkedtek, így a szerződéses ár megemelése szükséges.</w:t>
      </w:r>
    </w:p>
    <w:p w14:paraId="11F03AC0" w14:textId="77777777" w:rsidR="00E83859" w:rsidRPr="00DD752F" w:rsidRDefault="00E83859" w:rsidP="00E83859">
      <w:pPr>
        <w:spacing w:after="0" w:line="240" w:lineRule="auto"/>
        <w:ind w:left="709"/>
        <w:jc w:val="both"/>
        <w:rPr>
          <w:rFonts w:ascii="Garamond" w:hAnsi="Garamond"/>
          <w:bCs/>
          <w:color w:val="000000"/>
          <w:sz w:val="24"/>
          <w:szCs w:val="24"/>
        </w:rPr>
      </w:pPr>
    </w:p>
    <w:p w14:paraId="480A9BA3"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 xml:space="preserve">A költségek kiemelkedő emelkedése a szerződés megkötésekor nem volt előre látható. </w:t>
      </w:r>
      <w:r w:rsidRPr="00DD752F">
        <w:rPr>
          <w:rFonts w:ascii="Garamond" w:hAnsi="Garamond"/>
          <w:sz w:val="24"/>
          <w:szCs w:val="24"/>
        </w:rPr>
        <w:t>Az áremelkedés az építőiparban olyan rendkívüli mértékű, hogy az nem tekinthető előre láthatónak, az emelkedés mértéke a szerződéskötéskor észszerűen nem volt előre látható.</w:t>
      </w:r>
    </w:p>
    <w:p w14:paraId="5A01856B"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költségek jelentősen megemelkedtek a 2022. évben, részben az Ukrajnában kialakult háborús helyzet miatt, részben az építőanyagárak megemelkedése miatt.</w:t>
      </w:r>
    </w:p>
    <w:p w14:paraId="07684579"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Az árak megemelkedése nem volt előre látható, a háborús helyzet és annak gazdasági hatásai olyan körülmények, amelyek a szerződés megkötésekor nem voltak előre láthatóak.</w:t>
      </w:r>
    </w:p>
    <w:p w14:paraId="463DE024"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 xml:space="preserve">Az építőanyagok árának megemelkedése szintén nem volt előre látható. A Magyar Kormány is megerősítette </w:t>
      </w:r>
      <w:r w:rsidRPr="00DD752F">
        <w:rPr>
          <w:rFonts w:ascii="Garamond" w:hAnsi="Garamond"/>
          <w:bCs/>
          <w:i/>
          <w:iCs/>
          <w:color w:val="000000"/>
          <w:sz w:val="24"/>
          <w:szCs w:val="24"/>
        </w:rPr>
        <w:t>a gazdaság újraindítása érdekében meghozandó, az építőipari ellátásbiztonság szempontjából stratégiai jelentőségű nyersanyagok és termékek kivitelével kapcsolatos regisztrációs eljárásról és egyéb intézkedésekről szóló 402/2021. (VII. 8.) Korm. rendelet</w:t>
      </w:r>
      <w:r w:rsidRPr="00DD752F">
        <w:rPr>
          <w:rFonts w:ascii="Garamond" w:hAnsi="Garamond"/>
          <w:bCs/>
          <w:color w:val="000000"/>
          <w:sz w:val="24"/>
          <w:szCs w:val="24"/>
        </w:rPr>
        <w:t xml:space="preserve"> és a kapcsolódó rendeletek elfogadásával és a veszélyhelyzeti rendeletek hatályának a mai napig történő meghosszabbításával, hogy az építőanyagok árai olyan szinten megemelkedtek, amely már kormányzati szintű beavatkozást igényelt, így az ilyen szintű emelkedés semmiképp nem volt előre látható. A szerződés megkötését és hatálybalépését követően 2022. május 25. napjától a Kormány </w:t>
      </w:r>
      <w:r w:rsidRPr="00DD752F">
        <w:rPr>
          <w:rFonts w:ascii="Garamond" w:hAnsi="Garamond"/>
          <w:bCs/>
          <w:i/>
          <w:iCs/>
          <w:color w:val="000000"/>
          <w:sz w:val="24"/>
          <w:szCs w:val="24"/>
        </w:rPr>
        <w:t>az Ukrajna területén fennálló fegyveres konfliktusra, illetve humanitárius katasztrófára tekintettel, valamint ezek magyarországi következményeinek az elhárítása érdekében veszélyhelyzet kihirdetéséről és egyes veszélyhelyzeti szabályokról szóló 180/2022. (V. 24.) Korm. rendelet</w:t>
      </w:r>
      <w:r w:rsidRPr="00DD752F">
        <w:rPr>
          <w:rFonts w:ascii="Garamond" w:hAnsi="Garamond"/>
          <w:bCs/>
          <w:color w:val="000000"/>
          <w:sz w:val="24"/>
          <w:szCs w:val="24"/>
        </w:rPr>
        <w:t xml:space="preserve">tel Magyarország egész területére veszélyhelyzetet hirdetett ki, amely a mai napig hatályban van. A veszélyhelyzet kihirdetésével a Kormány jogszabályi úton is elismerte, hogy a háborús helyzet rendkívüli intézkedéseket igényel, </w:t>
      </w:r>
      <w:r w:rsidRPr="00DD752F">
        <w:rPr>
          <w:rFonts w:ascii="Garamond" w:hAnsi="Garamond"/>
          <w:b/>
          <w:color w:val="000000"/>
          <w:sz w:val="24"/>
          <w:szCs w:val="24"/>
        </w:rPr>
        <w:t>a háborús helyzet semmiképp nem volt előre látható a szerződéskötés időpontjában, hiszen a háborús helyzet a szerződéskötést követően következett be</w:t>
      </w:r>
      <w:r w:rsidRPr="00DD752F">
        <w:rPr>
          <w:rFonts w:ascii="Garamond" w:hAnsi="Garamond"/>
          <w:bCs/>
          <w:color w:val="000000"/>
          <w:sz w:val="24"/>
          <w:szCs w:val="24"/>
        </w:rPr>
        <w:t xml:space="preserve"> és az erre vonatkozó veszélyhelyzet is a szerződéskötést követően, 2022. május 25. napjától hatályos.</w:t>
      </w:r>
    </w:p>
    <w:p w14:paraId="4ECC8CDC" w14:textId="77777777" w:rsidR="00E83859" w:rsidRPr="00DD752F" w:rsidRDefault="00E83859" w:rsidP="00E83859">
      <w:pPr>
        <w:spacing w:after="0" w:line="240" w:lineRule="auto"/>
        <w:ind w:left="709"/>
        <w:jc w:val="both"/>
        <w:rPr>
          <w:rFonts w:ascii="Garamond" w:hAnsi="Garamond"/>
          <w:bCs/>
          <w:color w:val="000000"/>
          <w:sz w:val="24"/>
          <w:szCs w:val="24"/>
        </w:rPr>
      </w:pPr>
    </w:p>
    <w:p w14:paraId="1844AE37"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 xml:space="preserve">A </w:t>
      </w:r>
      <w:r w:rsidRPr="00DD752F">
        <w:rPr>
          <w:rFonts w:ascii="Garamond" w:hAnsi="Garamond"/>
          <w:bCs/>
          <w:i/>
          <w:iCs/>
          <w:color w:val="000000"/>
          <w:sz w:val="24"/>
          <w:szCs w:val="24"/>
        </w:rPr>
        <w:t xml:space="preserve">Közbeszerzési Hatóság keretében működő Tanács 2022. június 9. napján kiadott útmutatója a közbeszerzési eljárások eredményeként megkötött szerződések Kbt. szerinti módosításával, valamint teljesítésével kapcsolatos egyes kérdésekről </w:t>
      </w:r>
      <w:r w:rsidRPr="00DD752F">
        <w:rPr>
          <w:rFonts w:ascii="Garamond" w:hAnsi="Garamond"/>
          <w:bCs/>
          <w:color w:val="000000"/>
          <w:sz w:val="24"/>
          <w:szCs w:val="24"/>
        </w:rPr>
        <w:t>(továbbiakban: Útmutató)</w:t>
      </w:r>
      <w:r w:rsidRPr="00DD752F">
        <w:rPr>
          <w:rFonts w:ascii="Garamond" w:hAnsi="Garamond"/>
          <w:bCs/>
          <w:i/>
          <w:iCs/>
          <w:color w:val="000000"/>
          <w:sz w:val="24"/>
          <w:szCs w:val="24"/>
        </w:rPr>
        <w:t xml:space="preserve"> </w:t>
      </w:r>
      <w:r w:rsidRPr="00DD752F">
        <w:rPr>
          <w:rFonts w:ascii="Garamond" w:hAnsi="Garamond"/>
          <w:bCs/>
          <w:color w:val="000000"/>
          <w:sz w:val="24"/>
          <w:szCs w:val="24"/>
        </w:rPr>
        <w:t>is kiemeli, hogy átalánydíjas szerződés esetén, akkor is ha „</w:t>
      </w:r>
      <w:r w:rsidRPr="00DD752F">
        <w:rPr>
          <w:rFonts w:ascii="Garamond" w:hAnsi="Garamond"/>
          <w:b/>
          <w:color w:val="000000"/>
          <w:sz w:val="24"/>
          <w:szCs w:val="24"/>
        </w:rPr>
        <w:t xml:space="preserve">az ajánlati árnak tartalmaznia kell a teljesítés időtartama </w:t>
      </w:r>
      <w:r w:rsidRPr="00DD752F">
        <w:rPr>
          <w:rFonts w:ascii="Garamond" w:hAnsi="Garamond"/>
          <w:b/>
          <w:color w:val="000000"/>
          <w:sz w:val="24"/>
          <w:szCs w:val="24"/>
        </w:rPr>
        <w:lastRenderedPageBreak/>
        <w:t xml:space="preserve">alatti árváltozásból eredő vállalkozói kockázatot és a vállalkozói hasznot is, (…) </w:t>
      </w:r>
      <w:r w:rsidRPr="00DD752F">
        <w:rPr>
          <w:rFonts w:ascii="Garamond" w:hAnsi="Garamond"/>
          <w:b/>
          <w:i/>
          <w:iCs/>
          <w:color w:val="000000"/>
          <w:sz w:val="24"/>
          <w:szCs w:val="24"/>
          <w:u w:val="single"/>
        </w:rPr>
        <w:t>ez nem jelenti azt, hogy a közbeszerzési eljárás alapján megkötött szerződés módosítása az alapanyagárak vagy az energiahordozók árának emelkedése miatt kizárt lenne</w:t>
      </w:r>
      <w:r w:rsidRPr="00DD752F">
        <w:rPr>
          <w:rFonts w:ascii="Garamond" w:hAnsi="Garamond"/>
          <w:b/>
          <w:color w:val="000000"/>
          <w:sz w:val="24"/>
          <w:szCs w:val="24"/>
        </w:rPr>
        <w:t>.</w:t>
      </w:r>
      <w:r w:rsidRPr="00DD752F">
        <w:rPr>
          <w:rFonts w:ascii="Garamond" w:hAnsi="Garamond"/>
          <w:bCs/>
          <w:color w:val="000000"/>
          <w:sz w:val="24"/>
          <w:szCs w:val="24"/>
        </w:rPr>
        <w:t>”</w:t>
      </w:r>
    </w:p>
    <w:p w14:paraId="1DDC22BD"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Az Útmutató ehhez kapcsolódóan lehetővé teszi a teljesítési határidő módosítását is, azonban a Felek jelen szerződésmódosításban a határidő nem kívánják módosítani.</w:t>
      </w:r>
    </w:p>
    <w:p w14:paraId="212D6D53" w14:textId="77777777" w:rsidR="00E83859" w:rsidRPr="00DD752F" w:rsidRDefault="00E83859" w:rsidP="00E83859">
      <w:pPr>
        <w:spacing w:after="0" w:line="240" w:lineRule="auto"/>
        <w:ind w:left="709"/>
        <w:jc w:val="both"/>
        <w:rPr>
          <w:rFonts w:ascii="Garamond" w:hAnsi="Garamond"/>
          <w:bCs/>
          <w:color w:val="000000"/>
          <w:sz w:val="24"/>
          <w:szCs w:val="24"/>
        </w:rPr>
      </w:pPr>
    </w:p>
    <w:p w14:paraId="66C7D9A0" w14:textId="77777777" w:rsidR="00E83859" w:rsidRPr="00DD752F" w:rsidRDefault="00E83859" w:rsidP="00E83859">
      <w:pPr>
        <w:spacing w:after="0" w:line="240" w:lineRule="auto"/>
        <w:ind w:left="709"/>
        <w:jc w:val="both"/>
        <w:rPr>
          <w:rFonts w:ascii="Garamond" w:hAnsi="Garamond"/>
          <w:bCs/>
          <w:color w:val="000000"/>
          <w:sz w:val="24"/>
          <w:szCs w:val="24"/>
        </w:rPr>
      </w:pPr>
    </w:p>
    <w:p w14:paraId="1BF4AC1D" w14:textId="77777777" w:rsidR="00E83859" w:rsidRPr="00DD752F" w:rsidRDefault="00E83859" w:rsidP="00E83859">
      <w:pPr>
        <w:spacing w:after="0" w:line="240" w:lineRule="auto"/>
        <w:ind w:left="709" w:hanging="709"/>
        <w:jc w:val="both"/>
        <w:rPr>
          <w:rFonts w:ascii="Garamond" w:hAnsi="Garamond"/>
          <w:bCs/>
          <w:color w:val="000000"/>
          <w:sz w:val="24"/>
          <w:szCs w:val="24"/>
        </w:rPr>
      </w:pPr>
      <w:r w:rsidRPr="00DD752F">
        <w:rPr>
          <w:rFonts w:ascii="Garamond" w:hAnsi="Garamond"/>
          <w:bCs/>
          <w:color w:val="000000"/>
          <w:sz w:val="24"/>
          <w:szCs w:val="24"/>
        </w:rPr>
        <w:t>4./</w:t>
      </w:r>
      <w:r w:rsidRPr="00DD752F">
        <w:rPr>
          <w:rFonts w:ascii="Garamond" w:hAnsi="Garamond"/>
          <w:bCs/>
          <w:color w:val="000000"/>
          <w:sz w:val="24"/>
          <w:szCs w:val="24"/>
        </w:rPr>
        <w:tab/>
        <w:t>A fenti indokolás alapján a Felek rögzítik, hogy az alapszerződés alábbi rendelkezési helyett a következő rendelkezéseket alkalmazzák:</w:t>
      </w:r>
    </w:p>
    <w:p w14:paraId="147B97F9" w14:textId="77777777" w:rsidR="00E83859" w:rsidRPr="00DD752F" w:rsidRDefault="00E83859" w:rsidP="00E83859">
      <w:pPr>
        <w:spacing w:after="0" w:line="240" w:lineRule="auto"/>
        <w:jc w:val="both"/>
        <w:rPr>
          <w:rFonts w:ascii="Garamond" w:hAnsi="Garamond"/>
          <w:bCs/>
          <w:color w:val="000000"/>
          <w:sz w:val="24"/>
          <w:szCs w:val="24"/>
        </w:rPr>
      </w:pPr>
    </w:p>
    <w:p w14:paraId="6481F137"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Eredeti rendelkezés:</w:t>
      </w:r>
    </w:p>
    <w:p w14:paraId="680FA8F0" w14:textId="77777777" w:rsidR="00E83859" w:rsidRPr="00DD752F" w:rsidRDefault="00E83859" w:rsidP="00E83859">
      <w:pPr>
        <w:spacing w:after="0" w:line="240" w:lineRule="auto"/>
        <w:ind w:left="1418"/>
        <w:jc w:val="both"/>
        <w:rPr>
          <w:rFonts w:ascii="Garamond" w:hAnsi="Garamond"/>
          <w:bCs/>
          <w:color w:val="000000"/>
          <w:sz w:val="24"/>
          <w:szCs w:val="24"/>
        </w:rPr>
      </w:pPr>
    </w:p>
    <w:p w14:paraId="3BD0F6D9" w14:textId="77777777" w:rsidR="00E83859" w:rsidRPr="00DD752F" w:rsidRDefault="00E83859" w:rsidP="00E83859">
      <w:pPr>
        <w:tabs>
          <w:tab w:val="center" w:pos="4560"/>
          <w:tab w:val="right" w:pos="9000"/>
        </w:tabs>
        <w:spacing w:after="0" w:line="240" w:lineRule="auto"/>
        <w:ind w:left="1418" w:right="-3" w:hanging="709"/>
        <w:jc w:val="both"/>
        <w:rPr>
          <w:rFonts w:ascii="Garamond" w:hAnsi="Garamond"/>
          <w:iCs/>
          <w:sz w:val="24"/>
          <w:szCs w:val="24"/>
        </w:rPr>
      </w:pPr>
      <w:r w:rsidRPr="00DD752F">
        <w:rPr>
          <w:rFonts w:ascii="Garamond" w:hAnsi="Garamond"/>
          <w:sz w:val="24"/>
          <w:szCs w:val="24"/>
        </w:rPr>
        <w:t>III.1./</w:t>
      </w:r>
      <w:r w:rsidRPr="00DD752F">
        <w:rPr>
          <w:rFonts w:ascii="Garamond" w:hAnsi="Garamond"/>
          <w:sz w:val="24"/>
          <w:szCs w:val="24"/>
        </w:rPr>
        <w:tab/>
      </w:r>
      <w:r w:rsidRPr="00DD752F">
        <w:rPr>
          <w:rFonts w:ascii="Garamond" w:hAnsi="Garamond"/>
          <w:iCs/>
          <w:sz w:val="24"/>
          <w:szCs w:val="24"/>
        </w:rPr>
        <w:t xml:space="preserve">Jelen szerződés II. pontjában meghatározott tevékenységek elvégzéséért, illetve teljesítéséért Megrendelő összesen nettó </w:t>
      </w:r>
      <w:proofErr w:type="gramStart"/>
      <w:r w:rsidRPr="00DD752F">
        <w:rPr>
          <w:rFonts w:ascii="Garamond" w:hAnsi="Garamond"/>
          <w:iCs/>
          <w:sz w:val="24"/>
          <w:szCs w:val="24"/>
        </w:rPr>
        <w:t>2.502.375.041,-</w:t>
      </w:r>
      <w:proofErr w:type="gramEnd"/>
      <w:r w:rsidRPr="00DD752F">
        <w:rPr>
          <w:rFonts w:ascii="Garamond" w:hAnsi="Garamond"/>
          <w:iCs/>
          <w:sz w:val="24"/>
          <w:szCs w:val="24"/>
        </w:rPr>
        <w:t xml:space="preserve"> Ft, azaz nettó kettőmilliárd-ötszázkettőmillió-háromszázhetvenötezer-negyvenegy forint vállalkozói díjat fizet Vállalkozó részére.</w:t>
      </w:r>
    </w:p>
    <w:p w14:paraId="5A9ABFBE" w14:textId="77777777" w:rsidR="00E83859" w:rsidRPr="00DD752F" w:rsidRDefault="00E83859" w:rsidP="00E83859">
      <w:pPr>
        <w:tabs>
          <w:tab w:val="center" w:pos="4560"/>
          <w:tab w:val="right" w:pos="9000"/>
        </w:tabs>
        <w:spacing w:after="0" w:line="240" w:lineRule="auto"/>
        <w:ind w:left="1418" w:right="-3" w:hanging="709"/>
        <w:jc w:val="both"/>
        <w:rPr>
          <w:rFonts w:ascii="Garamond" w:hAnsi="Garamond"/>
          <w:iCs/>
          <w:sz w:val="24"/>
          <w:szCs w:val="24"/>
        </w:rPr>
      </w:pPr>
    </w:p>
    <w:p w14:paraId="7DBABEDA" w14:textId="77777777" w:rsidR="00E83859" w:rsidRPr="00DD752F" w:rsidRDefault="00E83859" w:rsidP="00E83859">
      <w:pPr>
        <w:tabs>
          <w:tab w:val="center" w:pos="4560"/>
          <w:tab w:val="right" w:pos="9000"/>
        </w:tabs>
        <w:spacing w:after="0" w:line="240" w:lineRule="auto"/>
        <w:ind w:left="1418" w:right="-3" w:hanging="709"/>
        <w:jc w:val="both"/>
        <w:rPr>
          <w:rFonts w:ascii="Garamond" w:hAnsi="Garamond"/>
          <w:iCs/>
          <w:sz w:val="24"/>
          <w:szCs w:val="24"/>
        </w:rPr>
      </w:pPr>
      <w:bookmarkStart w:id="1" w:name="_Hlk124928281"/>
      <w:r w:rsidRPr="00DD752F">
        <w:rPr>
          <w:rFonts w:ascii="Garamond" w:hAnsi="Garamond"/>
          <w:iCs/>
          <w:sz w:val="24"/>
          <w:szCs w:val="24"/>
        </w:rPr>
        <w:t>(…)</w:t>
      </w:r>
    </w:p>
    <w:p w14:paraId="0038A171" w14:textId="77777777" w:rsidR="00E83859" w:rsidRPr="00DD752F" w:rsidRDefault="00E83859" w:rsidP="00E83859">
      <w:pPr>
        <w:tabs>
          <w:tab w:val="center" w:pos="4560"/>
          <w:tab w:val="right" w:pos="9000"/>
        </w:tabs>
        <w:spacing w:after="0" w:line="240" w:lineRule="auto"/>
        <w:ind w:left="1418" w:right="-3" w:hanging="709"/>
        <w:jc w:val="both"/>
        <w:rPr>
          <w:rFonts w:ascii="Garamond" w:hAnsi="Garamond"/>
          <w:bCs/>
          <w:sz w:val="24"/>
          <w:szCs w:val="24"/>
        </w:rPr>
      </w:pPr>
    </w:p>
    <w:p w14:paraId="1796236D"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III.6./</w:t>
      </w:r>
    </w:p>
    <w:p w14:paraId="75D9C8FD"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Felek rögzítik, hogy a vállalkozási díj az alábbi tételekből tevődik össze:</w:t>
      </w:r>
    </w:p>
    <w:p w14:paraId="3F00898D"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 xml:space="preserve">Nettó vállalási ár: </w:t>
      </w:r>
      <w:proofErr w:type="gramStart"/>
      <w:r w:rsidRPr="00DD752F">
        <w:rPr>
          <w:rFonts w:ascii="Garamond" w:hAnsi="Garamond"/>
          <w:bCs/>
          <w:color w:val="000000"/>
          <w:sz w:val="24"/>
          <w:szCs w:val="24"/>
        </w:rPr>
        <w:t>2.502.375.041,-</w:t>
      </w:r>
      <w:proofErr w:type="gramEnd"/>
      <w:r w:rsidRPr="00DD752F">
        <w:rPr>
          <w:rFonts w:ascii="Garamond" w:hAnsi="Garamond"/>
          <w:bCs/>
          <w:color w:val="000000"/>
          <w:sz w:val="24"/>
          <w:szCs w:val="24"/>
        </w:rPr>
        <w:t xml:space="preserve"> Ft.</w:t>
      </w:r>
    </w:p>
    <w:p w14:paraId="12A9CB01"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 xml:space="preserve">5% Tartalékkeret: </w:t>
      </w:r>
      <w:proofErr w:type="gramStart"/>
      <w:r w:rsidRPr="00DD752F">
        <w:rPr>
          <w:rFonts w:ascii="Garamond" w:hAnsi="Garamond"/>
          <w:bCs/>
          <w:color w:val="000000"/>
          <w:sz w:val="24"/>
          <w:szCs w:val="24"/>
        </w:rPr>
        <w:t>125.118.752,-</w:t>
      </w:r>
      <w:proofErr w:type="gramEnd"/>
      <w:r w:rsidRPr="00DD752F">
        <w:rPr>
          <w:rFonts w:ascii="Garamond" w:hAnsi="Garamond"/>
          <w:bCs/>
          <w:color w:val="000000"/>
          <w:sz w:val="24"/>
          <w:szCs w:val="24"/>
        </w:rPr>
        <w:t xml:space="preserve"> Ft.</w:t>
      </w:r>
    </w:p>
    <w:p w14:paraId="16DDA49B" w14:textId="77777777" w:rsidR="00E83859" w:rsidRPr="00DD752F" w:rsidRDefault="00E83859" w:rsidP="00E83859">
      <w:pPr>
        <w:spacing w:after="0" w:line="240" w:lineRule="auto"/>
        <w:ind w:left="1418"/>
        <w:jc w:val="both"/>
        <w:rPr>
          <w:rFonts w:ascii="Garamond" w:hAnsi="Garamond"/>
          <w:bCs/>
          <w:color w:val="000000"/>
          <w:sz w:val="24"/>
          <w:szCs w:val="24"/>
        </w:rPr>
      </w:pPr>
    </w:p>
    <w:p w14:paraId="50008D79" w14:textId="77777777" w:rsidR="00E83859" w:rsidRPr="00DD752F" w:rsidRDefault="00E83859" w:rsidP="00E83859">
      <w:pPr>
        <w:spacing w:after="0" w:line="240" w:lineRule="auto"/>
        <w:ind w:left="1418"/>
        <w:jc w:val="both"/>
        <w:rPr>
          <w:rFonts w:ascii="Garamond" w:hAnsi="Garamond"/>
          <w:bCs/>
          <w:color w:val="000000"/>
          <w:sz w:val="24"/>
          <w:szCs w:val="24"/>
        </w:rPr>
      </w:pPr>
      <w:r w:rsidRPr="00DD752F">
        <w:rPr>
          <w:rFonts w:ascii="Garamond" w:hAnsi="Garamond"/>
          <w:bCs/>
          <w:color w:val="000000"/>
          <w:sz w:val="24"/>
          <w:szCs w:val="24"/>
        </w:rPr>
        <w:t xml:space="preserve">Összesen nettó: </w:t>
      </w:r>
      <w:proofErr w:type="gramStart"/>
      <w:r w:rsidRPr="00DD752F">
        <w:rPr>
          <w:rFonts w:ascii="Garamond" w:hAnsi="Garamond"/>
          <w:bCs/>
          <w:color w:val="000000"/>
          <w:sz w:val="24"/>
          <w:szCs w:val="24"/>
        </w:rPr>
        <w:t>2.627.493.793,-</w:t>
      </w:r>
      <w:proofErr w:type="gramEnd"/>
      <w:r w:rsidRPr="00DD752F">
        <w:rPr>
          <w:rFonts w:ascii="Garamond" w:hAnsi="Garamond"/>
          <w:bCs/>
          <w:color w:val="000000"/>
          <w:sz w:val="24"/>
          <w:szCs w:val="24"/>
        </w:rPr>
        <w:t xml:space="preserve"> Ft. azaz kettőmilliárd-hatszáhuszonhétmillió-négyszázkilencvenháromezer-hétszázkilencvenhárom forint</w:t>
      </w:r>
    </w:p>
    <w:p w14:paraId="40403984" w14:textId="77777777" w:rsidR="00E83859" w:rsidRPr="00DD752F" w:rsidRDefault="00E83859" w:rsidP="00E83859">
      <w:pPr>
        <w:spacing w:after="0" w:line="240" w:lineRule="auto"/>
        <w:ind w:left="1418"/>
        <w:jc w:val="both"/>
        <w:rPr>
          <w:rFonts w:ascii="Garamond" w:hAnsi="Garamond"/>
          <w:b/>
          <w:color w:val="000000"/>
          <w:sz w:val="24"/>
          <w:szCs w:val="24"/>
        </w:rPr>
      </w:pPr>
    </w:p>
    <w:p w14:paraId="7AEB5FA1" w14:textId="77777777" w:rsidR="00E83859" w:rsidRPr="00DD752F" w:rsidRDefault="00E83859" w:rsidP="00E83859">
      <w:pPr>
        <w:spacing w:after="0" w:line="240" w:lineRule="auto"/>
        <w:ind w:left="1418"/>
        <w:jc w:val="both"/>
        <w:rPr>
          <w:rFonts w:ascii="Garamond" w:hAnsi="Garamond"/>
          <w:b/>
          <w:color w:val="000000"/>
          <w:sz w:val="24"/>
          <w:szCs w:val="24"/>
        </w:rPr>
      </w:pPr>
      <w:r w:rsidRPr="00DD752F">
        <w:rPr>
          <w:rFonts w:ascii="Garamond" w:hAnsi="Garamond"/>
          <w:b/>
          <w:color w:val="000000"/>
          <w:sz w:val="24"/>
          <w:szCs w:val="24"/>
        </w:rPr>
        <w:t>Módosított rendelkezés:</w:t>
      </w:r>
    </w:p>
    <w:p w14:paraId="32C0AC29" w14:textId="77777777" w:rsidR="00E83859" w:rsidRPr="00DD752F" w:rsidRDefault="00E83859" w:rsidP="00E83859">
      <w:pPr>
        <w:spacing w:after="0" w:line="240" w:lineRule="auto"/>
        <w:ind w:left="1418"/>
        <w:jc w:val="both"/>
        <w:rPr>
          <w:rFonts w:ascii="Garamond" w:hAnsi="Garamond"/>
          <w:bCs/>
          <w:color w:val="000000"/>
          <w:sz w:val="24"/>
          <w:szCs w:val="24"/>
        </w:rPr>
      </w:pPr>
    </w:p>
    <w:p w14:paraId="2499605C" w14:textId="77777777" w:rsidR="00E83859" w:rsidRPr="00B40516" w:rsidRDefault="00E83859" w:rsidP="00E83859">
      <w:pPr>
        <w:tabs>
          <w:tab w:val="center" w:pos="4560"/>
          <w:tab w:val="right" w:pos="9000"/>
        </w:tabs>
        <w:spacing w:after="0" w:line="240" w:lineRule="auto"/>
        <w:ind w:left="1418" w:right="-3" w:hanging="709"/>
        <w:jc w:val="both"/>
        <w:rPr>
          <w:rFonts w:ascii="Garamond" w:hAnsi="Garamond"/>
          <w:iCs/>
          <w:sz w:val="24"/>
          <w:szCs w:val="24"/>
        </w:rPr>
      </w:pPr>
      <w:r w:rsidRPr="00B40516">
        <w:rPr>
          <w:rFonts w:ascii="Garamond" w:hAnsi="Garamond"/>
          <w:sz w:val="24"/>
          <w:szCs w:val="24"/>
        </w:rPr>
        <w:t>III.1./</w:t>
      </w:r>
      <w:r w:rsidRPr="00B40516">
        <w:rPr>
          <w:rFonts w:ascii="Garamond" w:hAnsi="Garamond"/>
          <w:sz w:val="24"/>
          <w:szCs w:val="24"/>
        </w:rPr>
        <w:tab/>
      </w:r>
      <w:r w:rsidRPr="00B40516">
        <w:rPr>
          <w:rFonts w:ascii="Garamond" w:hAnsi="Garamond"/>
          <w:iCs/>
          <w:sz w:val="24"/>
          <w:szCs w:val="24"/>
        </w:rPr>
        <w:t xml:space="preserve">Jelen szerződés II. pontjában meghatározott tevékenységek elvégzéséért, illetve teljesítéséért Megrendelő összesen nettó </w:t>
      </w:r>
      <w:r w:rsidRPr="00B40516">
        <w:rPr>
          <w:rFonts w:ascii="Garamond" w:eastAsia="Times New Roman" w:hAnsi="Garamond" w:cstheme="minorHAnsi"/>
          <w:b/>
          <w:sz w:val="24"/>
          <w:szCs w:val="24"/>
          <w:lang w:eastAsia="ar-SA"/>
        </w:rPr>
        <w:t>3 259 704 124</w:t>
      </w:r>
      <w:r w:rsidRPr="00B40516">
        <w:rPr>
          <w:rFonts w:ascii="Garamond" w:hAnsi="Garamond"/>
          <w:b/>
          <w:bCs/>
          <w:i/>
          <w:sz w:val="24"/>
          <w:szCs w:val="24"/>
        </w:rPr>
        <w:t xml:space="preserve">,- Ft, azaz nettó hárommilliárd-kétszázötvenkilencmillió-kétszáznégyezer-százhuszonnégy </w:t>
      </w:r>
      <w:r w:rsidRPr="00B40516">
        <w:rPr>
          <w:rFonts w:ascii="Garamond" w:hAnsi="Garamond"/>
          <w:iCs/>
          <w:sz w:val="24"/>
          <w:szCs w:val="24"/>
        </w:rPr>
        <w:t>forint vállalkozói díjat fizet Vállalkozó részére.</w:t>
      </w:r>
    </w:p>
    <w:p w14:paraId="2B127D7E" w14:textId="77777777" w:rsidR="00E83859" w:rsidRPr="00B40516" w:rsidRDefault="00E83859" w:rsidP="00E83859">
      <w:pPr>
        <w:tabs>
          <w:tab w:val="center" w:pos="4560"/>
          <w:tab w:val="right" w:pos="9000"/>
        </w:tabs>
        <w:spacing w:after="0" w:line="240" w:lineRule="auto"/>
        <w:ind w:left="1418" w:right="-3" w:hanging="709"/>
        <w:jc w:val="both"/>
        <w:rPr>
          <w:rFonts w:ascii="Garamond" w:hAnsi="Garamond"/>
          <w:iCs/>
          <w:sz w:val="24"/>
          <w:szCs w:val="24"/>
        </w:rPr>
      </w:pPr>
    </w:p>
    <w:p w14:paraId="7F651CF7" w14:textId="77777777" w:rsidR="00E83859" w:rsidRPr="00B40516" w:rsidRDefault="00E83859" w:rsidP="00E83859">
      <w:pPr>
        <w:tabs>
          <w:tab w:val="center" w:pos="4560"/>
          <w:tab w:val="right" w:pos="9000"/>
        </w:tabs>
        <w:spacing w:after="0" w:line="240" w:lineRule="auto"/>
        <w:ind w:left="1418" w:right="-3" w:hanging="709"/>
        <w:jc w:val="both"/>
        <w:rPr>
          <w:rFonts w:ascii="Garamond" w:hAnsi="Garamond"/>
          <w:iCs/>
          <w:sz w:val="24"/>
          <w:szCs w:val="24"/>
        </w:rPr>
      </w:pPr>
      <w:r w:rsidRPr="00B40516">
        <w:rPr>
          <w:rFonts w:ascii="Garamond" w:hAnsi="Garamond"/>
          <w:iCs/>
          <w:sz w:val="24"/>
          <w:szCs w:val="24"/>
        </w:rPr>
        <w:t>(…)</w:t>
      </w:r>
    </w:p>
    <w:p w14:paraId="651539E5" w14:textId="77777777" w:rsidR="00E83859" w:rsidRPr="00B40516" w:rsidRDefault="00E83859" w:rsidP="00E83859">
      <w:pPr>
        <w:tabs>
          <w:tab w:val="center" w:pos="4560"/>
          <w:tab w:val="right" w:pos="9000"/>
        </w:tabs>
        <w:spacing w:after="0" w:line="240" w:lineRule="auto"/>
        <w:ind w:left="1418" w:right="-3" w:hanging="709"/>
        <w:jc w:val="both"/>
        <w:rPr>
          <w:rFonts w:ascii="Garamond" w:hAnsi="Garamond"/>
          <w:bCs/>
          <w:sz w:val="24"/>
          <w:szCs w:val="24"/>
        </w:rPr>
      </w:pPr>
    </w:p>
    <w:p w14:paraId="7A5B044B" w14:textId="77777777" w:rsidR="00E83859" w:rsidRPr="00B40516" w:rsidRDefault="00E83859" w:rsidP="00E83859">
      <w:pPr>
        <w:spacing w:after="0" w:line="240" w:lineRule="auto"/>
        <w:ind w:left="1418"/>
        <w:jc w:val="both"/>
        <w:rPr>
          <w:rFonts w:ascii="Garamond" w:hAnsi="Garamond"/>
          <w:bCs/>
          <w:color w:val="000000"/>
          <w:sz w:val="24"/>
          <w:szCs w:val="24"/>
        </w:rPr>
      </w:pPr>
      <w:r w:rsidRPr="00B40516">
        <w:rPr>
          <w:rFonts w:ascii="Garamond" w:hAnsi="Garamond"/>
          <w:bCs/>
          <w:color w:val="000000"/>
          <w:sz w:val="24"/>
          <w:szCs w:val="24"/>
        </w:rPr>
        <w:t>III.6./</w:t>
      </w:r>
    </w:p>
    <w:p w14:paraId="10C0A5FD" w14:textId="77777777" w:rsidR="00E83859" w:rsidRPr="00B40516" w:rsidRDefault="00E83859" w:rsidP="00E83859">
      <w:pPr>
        <w:spacing w:after="0" w:line="240" w:lineRule="auto"/>
        <w:ind w:left="1418"/>
        <w:jc w:val="both"/>
        <w:rPr>
          <w:rFonts w:ascii="Garamond" w:hAnsi="Garamond"/>
          <w:bCs/>
          <w:color w:val="000000"/>
          <w:sz w:val="24"/>
          <w:szCs w:val="24"/>
        </w:rPr>
      </w:pPr>
      <w:r w:rsidRPr="00B40516">
        <w:rPr>
          <w:rFonts w:ascii="Garamond" w:hAnsi="Garamond"/>
          <w:bCs/>
          <w:color w:val="000000"/>
          <w:sz w:val="24"/>
          <w:szCs w:val="24"/>
        </w:rPr>
        <w:t>Felek rögzítik, hogy a vállalkozási díj az alábbi tételekből tevődik össze:</w:t>
      </w:r>
    </w:p>
    <w:p w14:paraId="49AC8E63" w14:textId="77777777" w:rsidR="00E83859" w:rsidRPr="00B40516" w:rsidRDefault="00E83859" w:rsidP="00E83859">
      <w:pPr>
        <w:spacing w:after="0" w:line="240" w:lineRule="auto"/>
        <w:ind w:left="1418"/>
        <w:jc w:val="both"/>
        <w:rPr>
          <w:rFonts w:ascii="Garamond" w:hAnsi="Garamond"/>
          <w:b/>
          <w:bCs/>
          <w:i/>
          <w:iCs/>
          <w:color w:val="000000"/>
          <w:sz w:val="24"/>
          <w:szCs w:val="24"/>
        </w:rPr>
      </w:pPr>
      <w:r w:rsidRPr="00B40516">
        <w:rPr>
          <w:rFonts w:ascii="Garamond" w:hAnsi="Garamond"/>
          <w:bCs/>
          <w:color w:val="000000"/>
          <w:sz w:val="24"/>
          <w:szCs w:val="24"/>
        </w:rPr>
        <w:t xml:space="preserve">Nettó vállalási ár: </w:t>
      </w:r>
      <w:r w:rsidRPr="00B40516">
        <w:rPr>
          <w:rFonts w:ascii="Garamond" w:eastAsia="Times New Roman" w:hAnsi="Garamond" w:cstheme="minorHAnsi"/>
          <w:b/>
          <w:sz w:val="24"/>
          <w:szCs w:val="24"/>
          <w:lang w:eastAsia="ar-SA"/>
        </w:rPr>
        <w:t>3 259 704 124</w:t>
      </w:r>
      <w:r w:rsidRPr="00B40516">
        <w:rPr>
          <w:rFonts w:ascii="Garamond" w:hAnsi="Garamond"/>
          <w:b/>
          <w:bCs/>
          <w:i/>
          <w:sz w:val="24"/>
          <w:szCs w:val="24"/>
        </w:rPr>
        <w:t>,- Ft</w:t>
      </w:r>
    </w:p>
    <w:p w14:paraId="7BDF3DA2" w14:textId="77777777" w:rsidR="00E83859" w:rsidRPr="00B40516" w:rsidRDefault="00E83859" w:rsidP="00E83859">
      <w:pPr>
        <w:spacing w:after="0" w:line="240" w:lineRule="auto"/>
        <w:ind w:left="1418"/>
        <w:jc w:val="both"/>
        <w:rPr>
          <w:rFonts w:ascii="Garamond" w:hAnsi="Garamond"/>
          <w:bCs/>
          <w:i/>
          <w:iCs/>
          <w:color w:val="000000"/>
          <w:sz w:val="24"/>
          <w:szCs w:val="24"/>
        </w:rPr>
      </w:pPr>
      <w:r w:rsidRPr="00B40516">
        <w:rPr>
          <w:rFonts w:ascii="Garamond" w:hAnsi="Garamond"/>
          <w:bCs/>
          <w:color w:val="000000"/>
          <w:sz w:val="24"/>
          <w:szCs w:val="24"/>
        </w:rPr>
        <w:t xml:space="preserve">5% Tartalékkeret: </w:t>
      </w:r>
      <w:r w:rsidRPr="00B40516">
        <w:rPr>
          <w:rFonts w:ascii="Garamond" w:hAnsi="Garamond"/>
          <w:b/>
          <w:i/>
          <w:iCs/>
          <w:color w:val="000000"/>
          <w:sz w:val="24"/>
          <w:szCs w:val="24"/>
        </w:rPr>
        <w:t>162 985 206,- Ft.</w:t>
      </w:r>
    </w:p>
    <w:p w14:paraId="3E4C6F9B" w14:textId="77777777" w:rsidR="00E83859" w:rsidRPr="00B40516" w:rsidRDefault="00E83859" w:rsidP="00E83859">
      <w:pPr>
        <w:spacing w:after="0" w:line="240" w:lineRule="auto"/>
        <w:ind w:left="1418"/>
        <w:jc w:val="both"/>
        <w:rPr>
          <w:rFonts w:ascii="Garamond" w:hAnsi="Garamond"/>
          <w:bCs/>
          <w:color w:val="000000"/>
          <w:sz w:val="24"/>
          <w:szCs w:val="24"/>
        </w:rPr>
      </w:pPr>
    </w:p>
    <w:p w14:paraId="15625B9D" w14:textId="77777777" w:rsidR="00E83859" w:rsidRPr="00DD752F" w:rsidRDefault="00E83859" w:rsidP="00E83859">
      <w:pPr>
        <w:spacing w:after="0" w:line="240" w:lineRule="auto"/>
        <w:ind w:left="1418"/>
        <w:jc w:val="both"/>
        <w:rPr>
          <w:rFonts w:ascii="Garamond" w:hAnsi="Garamond"/>
          <w:bCs/>
          <w:color w:val="000000"/>
          <w:sz w:val="24"/>
          <w:szCs w:val="24"/>
        </w:rPr>
      </w:pPr>
      <w:r w:rsidRPr="00B40516">
        <w:rPr>
          <w:rFonts w:ascii="Garamond" w:hAnsi="Garamond"/>
          <w:bCs/>
          <w:color w:val="000000"/>
          <w:sz w:val="24"/>
          <w:szCs w:val="24"/>
        </w:rPr>
        <w:t xml:space="preserve">Összesen nettó: </w:t>
      </w:r>
      <w:r w:rsidRPr="00B40516">
        <w:rPr>
          <w:rFonts w:ascii="Garamond" w:eastAsia="Times New Roman" w:hAnsi="Garamond" w:cstheme="minorHAnsi"/>
          <w:b/>
          <w:sz w:val="24"/>
          <w:szCs w:val="24"/>
          <w:lang w:eastAsia="ar-SA"/>
        </w:rPr>
        <w:t>3 422 689 330</w:t>
      </w:r>
      <w:r w:rsidRPr="00B40516">
        <w:rPr>
          <w:rFonts w:ascii="Garamond" w:hAnsi="Garamond"/>
          <w:b/>
          <w:i/>
          <w:iCs/>
          <w:color w:val="000000"/>
          <w:sz w:val="24"/>
          <w:szCs w:val="24"/>
        </w:rPr>
        <w:t xml:space="preserve">,- Ft. azaz hárommilliárd-négyszázhuszonkétmillió-hatszáznyolcvankilencezer-háromszázharminc </w:t>
      </w:r>
      <w:r w:rsidRPr="00B40516">
        <w:rPr>
          <w:rFonts w:ascii="Garamond" w:hAnsi="Garamond"/>
          <w:bCs/>
          <w:color w:val="000000"/>
          <w:sz w:val="24"/>
          <w:szCs w:val="24"/>
        </w:rPr>
        <w:t>forint</w:t>
      </w:r>
    </w:p>
    <w:bookmarkEnd w:id="1"/>
    <w:p w14:paraId="79614264" w14:textId="77777777" w:rsidR="00E83859" w:rsidRPr="00DD752F" w:rsidRDefault="00E83859" w:rsidP="00E83859">
      <w:pPr>
        <w:spacing w:after="0" w:line="240" w:lineRule="auto"/>
        <w:jc w:val="both"/>
        <w:rPr>
          <w:rFonts w:ascii="Garamond" w:hAnsi="Garamond"/>
          <w:bCs/>
          <w:color w:val="000000"/>
          <w:sz w:val="24"/>
          <w:szCs w:val="24"/>
        </w:rPr>
      </w:pPr>
    </w:p>
    <w:p w14:paraId="233CE48D" w14:textId="77777777" w:rsidR="00E83859" w:rsidRPr="00DD752F" w:rsidRDefault="00E83859" w:rsidP="00E83859">
      <w:pPr>
        <w:spacing w:after="0" w:line="240" w:lineRule="auto"/>
        <w:ind w:left="709" w:hanging="709"/>
        <w:jc w:val="both"/>
        <w:rPr>
          <w:rFonts w:ascii="Garamond" w:hAnsi="Garamond"/>
          <w:b/>
          <w:color w:val="000000"/>
          <w:sz w:val="24"/>
          <w:szCs w:val="24"/>
        </w:rPr>
      </w:pPr>
      <w:r w:rsidRPr="00DD752F">
        <w:rPr>
          <w:rFonts w:ascii="Garamond" w:hAnsi="Garamond"/>
          <w:bCs/>
          <w:color w:val="000000"/>
          <w:sz w:val="24"/>
          <w:szCs w:val="24"/>
        </w:rPr>
        <w:t>5./</w:t>
      </w:r>
      <w:r w:rsidRPr="00DD752F">
        <w:rPr>
          <w:rFonts w:ascii="Garamond" w:hAnsi="Garamond"/>
          <w:bCs/>
          <w:color w:val="000000"/>
          <w:sz w:val="24"/>
          <w:szCs w:val="24"/>
        </w:rPr>
        <w:tab/>
        <w:t xml:space="preserve"> Vállalkozó a fenti vállalkozói díj módosításra tekintettel az alapszerződés vonatkozásában rendelkezésre bocsátott teljesítési biztosíték összegét módosítja a módosított vállalkozói díj 2%-ára. A különbözetet jelen szerződésmódosítás hatálybalépését követő 15 napon belül Megrendelő részére biztosítja. A kikötött teljesítési biztosítéknak f</w:t>
      </w:r>
      <w:r w:rsidRPr="00DD752F">
        <w:rPr>
          <w:rFonts w:ascii="Garamond" w:hAnsi="Garamond"/>
          <w:color w:val="000000"/>
          <w:sz w:val="24"/>
          <w:szCs w:val="24"/>
        </w:rPr>
        <w:t xml:space="preserve">olyamatosan </w:t>
      </w:r>
      <w:r w:rsidRPr="00DD752F">
        <w:rPr>
          <w:rFonts w:ascii="Garamond" w:hAnsi="Garamond"/>
          <w:bCs/>
          <w:color w:val="000000"/>
          <w:sz w:val="24"/>
          <w:szCs w:val="24"/>
        </w:rPr>
        <w:t>rendelkezésre kell állnia a szerződés teljesítéséig.</w:t>
      </w:r>
    </w:p>
    <w:p w14:paraId="7218B030" w14:textId="77777777" w:rsidR="00E83859" w:rsidRPr="00DD752F" w:rsidRDefault="00E83859" w:rsidP="00E83859">
      <w:pPr>
        <w:spacing w:after="0" w:line="240" w:lineRule="auto"/>
        <w:rPr>
          <w:rFonts w:ascii="Garamond" w:hAnsi="Garamond"/>
          <w:bCs/>
          <w:color w:val="000000"/>
          <w:sz w:val="24"/>
          <w:szCs w:val="24"/>
        </w:rPr>
      </w:pPr>
    </w:p>
    <w:p w14:paraId="382C1FC4" w14:textId="77777777" w:rsidR="00E83859" w:rsidRPr="00DD752F" w:rsidRDefault="00E83859" w:rsidP="00E83859">
      <w:pPr>
        <w:spacing w:after="0" w:line="240" w:lineRule="auto"/>
        <w:jc w:val="both"/>
        <w:rPr>
          <w:rFonts w:ascii="Garamond" w:hAnsi="Garamond"/>
          <w:bCs/>
          <w:color w:val="000000"/>
          <w:sz w:val="24"/>
          <w:szCs w:val="24"/>
          <w:u w:val="single"/>
        </w:rPr>
      </w:pPr>
      <w:r w:rsidRPr="00DD752F">
        <w:rPr>
          <w:rFonts w:ascii="Garamond" w:hAnsi="Garamond"/>
          <w:bCs/>
          <w:color w:val="000000"/>
          <w:sz w:val="24"/>
          <w:szCs w:val="24"/>
          <w:u w:val="single"/>
        </w:rPr>
        <w:t>6./</w:t>
      </w:r>
      <w:r w:rsidRPr="00DD752F">
        <w:rPr>
          <w:rFonts w:ascii="Garamond" w:hAnsi="Garamond"/>
          <w:bCs/>
          <w:color w:val="000000"/>
          <w:sz w:val="24"/>
          <w:szCs w:val="24"/>
          <w:u w:val="single"/>
        </w:rPr>
        <w:tab/>
        <w:t>Részletes közbeszerzési-jogi indokolás:</w:t>
      </w:r>
    </w:p>
    <w:p w14:paraId="0FCB85A3"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 xml:space="preserve">Az eredeti szerződés értéke az uniós értékhatárokat elérte és a módosítás az eredeti szerződés értékének 15%-át eléri és meghaladja, így a szerződés a Kbt. 141. § (2) bekezdés alapján nem módosítható. </w:t>
      </w:r>
    </w:p>
    <w:p w14:paraId="0DD2731E"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Kbt. 141. § (2) bekezdése nem alkalmazható, így a (4) bekezdés c) pontja alapján szerződés a (6) bekezdésben foglalt feltételek vizsgálata nélkül, új közbeszerzési eljárás lefolytatása nélkül módosítható, a meghatározott feltételek együttes teljesülése esetén.</w:t>
      </w:r>
    </w:p>
    <w:p w14:paraId="5D970284" w14:textId="77777777" w:rsidR="00E83859" w:rsidRPr="00DD752F" w:rsidRDefault="00E83859" w:rsidP="00E83859">
      <w:pPr>
        <w:spacing w:after="0" w:line="240" w:lineRule="auto"/>
        <w:ind w:left="709"/>
        <w:jc w:val="both"/>
        <w:rPr>
          <w:rFonts w:ascii="Garamond" w:hAnsi="Garamond"/>
          <w:bCs/>
          <w:color w:val="000000"/>
          <w:sz w:val="24"/>
          <w:szCs w:val="24"/>
        </w:rPr>
      </w:pPr>
    </w:p>
    <w:p w14:paraId="054859C6"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módosítás megfelel a Kbt. 141. § (4) bekezdés c) pont ca) alpontjának, mert a módosítást olyan körülmények tették szükségessé, amelyeket az ajánlatkérő kellő gondossággal eljárva nem láthatott előre. 2021. szeptemberében Megrendelő és Vállalkozó sem számíthatott az Ukrajnában kialakult háborús helyzet bekövetkeztére és az építőanyagárak emiatt történő további jelentős jelentős megemelkedésére. A helyzetet Magyarország Kormánya is vis maior helyzetként értékeli és különleges jogrendben kezeli, annak speciális, előre nem látható volta miatt és az építőanyagárak emelkedése is kormányzati szinten elismert, beavatkozást igénylő jelenség, így az előre nem láthatóság objektív módon, jogszabályi szinten is megállapítható.</w:t>
      </w:r>
    </w:p>
    <w:p w14:paraId="43A8AFE9"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módosítás megfelel a Kbt. 141. § (4) bekezdés c) pont cb) alpontjának, mert a módosítás nem változtatja meg a szerződés általános jellegét, az változatlanul építési beruházás marad, az elvégzendő feladatok és az eredeti műszaki tartalom nem módosul.</w:t>
      </w:r>
    </w:p>
    <w:p w14:paraId="39715337"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Az ellenérték növekedése nem haladja meg az eredeti szerződés értékének 50%-át, így a módosítás megfelel a Kbt. 141. § (4) bekezdés c) pont cc) alpontjának.</w:t>
      </w:r>
    </w:p>
    <w:p w14:paraId="4B922917" w14:textId="77777777" w:rsidR="00E83859" w:rsidRPr="00DD752F" w:rsidRDefault="00E83859" w:rsidP="00E83859">
      <w:pPr>
        <w:spacing w:after="0" w:line="240" w:lineRule="auto"/>
        <w:ind w:left="709"/>
        <w:jc w:val="both"/>
        <w:rPr>
          <w:rFonts w:ascii="Garamond" w:hAnsi="Garamond"/>
          <w:bCs/>
          <w:color w:val="000000"/>
          <w:sz w:val="24"/>
          <w:szCs w:val="24"/>
        </w:rPr>
      </w:pPr>
    </w:p>
    <w:p w14:paraId="413F3577"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Kbt. 141. § (4) bekezdése nem tartalmaz erre történő korlátozást, de a módosítással a szerződéskötést megelőző közbeszerzési eljárást az ajánlatkérő olyan szabályok szerint indította meg, amelyek a módosítást követő összegre tekintettel is jogszerűen alkalmazhatóak lettek volna, ha az ajánlatkérő az eljárás becsült értékét a szerződésmódosítást követő értékét figyelembe véve határozta volna meg, így a Kbt. alapelvei nem sérülnek.</w:t>
      </w:r>
    </w:p>
    <w:p w14:paraId="30F2F577" w14:textId="77777777" w:rsidR="00E83859" w:rsidRPr="00DD752F" w:rsidRDefault="00E83859" w:rsidP="00E83859">
      <w:pPr>
        <w:spacing w:after="0" w:line="240" w:lineRule="auto"/>
        <w:ind w:left="709"/>
        <w:jc w:val="both"/>
        <w:rPr>
          <w:rFonts w:ascii="Garamond" w:hAnsi="Garamond"/>
          <w:bCs/>
          <w:color w:val="000000"/>
          <w:sz w:val="24"/>
          <w:szCs w:val="24"/>
        </w:rPr>
      </w:pPr>
    </w:p>
    <w:p w14:paraId="73BFAAE6"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 xml:space="preserve">A módosítás nem sérti a Kbt. 142. § (3) bekezdését, Vállalkozót nem mentesíti szerződésszegés (illetve szerződésszegésbe esés) és annak jogkövetkezményei - ide nem értve a felmondás vagy elállás jogának gyakorlását - alkalmazása alól és a módosítással Megrendelő nem vállal át a Vállalkozót terhelő többletmunkaköltségeket vagy indokolatlanul egyéb, a szerződés alapján a nyertes ajánlattevőt terhelő kockázatokat. </w:t>
      </w:r>
    </w:p>
    <w:p w14:paraId="1B0C1D23" w14:textId="77777777" w:rsidR="00E83859" w:rsidRPr="00DD752F" w:rsidRDefault="00E83859" w:rsidP="00E83859">
      <w:pPr>
        <w:spacing w:after="0" w:line="240" w:lineRule="auto"/>
        <w:ind w:left="709"/>
        <w:jc w:val="both"/>
        <w:rPr>
          <w:rFonts w:ascii="Garamond" w:hAnsi="Garamond"/>
          <w:bCs/>
          <w:color w:val="000000"/>
          <w:sz w:val="24"/>
          <w:szCs w:val="24"/>
        </w:rPr>
      </w:pPr>
      <w:r w:rsidRPr="00DD752F">
        <w:rPr>
          <w:rFonts w:ascii="Garamond" w:hAnsi="Garamond"/>
          <w:bCs/>
          <w:color w:val="000000"/>
          <w:sz w:val="24"/>
          <w:szCs w:val="24"/>
        </w:rPr>
        <w:t>A Felek olyan mértékű módosításban egyeznek meg, ami csak a rendes üzleti kockázat mértékét meghaladó változás kezeléséről szól, vagyis ezáltal Megrendelő nem indokolatlanul vállal át kockázatot Vállalkozótól, hanem az előre nem látható mértékű kockázatok viselését a felek megosztják.</w:t>
      </w:r>
    </w:p>
    <w:p w14:paraId="3AC68AA0" w14:textId="77777777" w:rsidR="00E83859" w:rsidRPr="00DD752F" w:rsidRDefault="00E83859" w:rsidP="00E83859">
      <w:pPr>
        <w:spacing w:after="0" w:line="240" w:lineRule="auto"/>
        <w:ind w:left="709"/>
        <w:jc w:val="both"/>
        <w:rPr>
          <w:rFonts w:ascii="Garamond" w:hAnsi="Garamond"/>
          <w:bCs/>
          <w:color w:val="000000"/>
          <w:sz w:val="24"/>
          <w:szCs w:val="24"/>
        </w:rPr>
      </w:pPr>
    </w:p>
    <w:p w14:paraId="6DC0FDD4" w14:textId="77777777" w:rsidR="00E83859" w:rsidRPr="00DD752F" w:rsidRDefault="00E83859" w:rsidP="00E83859">
      <w:pPr>
        <w:spacing w:after="0" w:line="240" w:lineRule="auto"/>
        <w:ind w:left="709"/>
        <w:jc w:val="both"/>
        <w:rPr>
          <w:rFonts w:ascii="Garamond" w:hAnsi="Garamond"/>
          <w:b/>
          <w:color w:val="000000"/>
          <w:sz w:val="24"/>
          <w:szCs w:val="24"/>
        </w:rPr>
      </w:pPr>
      <w:r w:rsidRPr="00DD752F">
        <w:rPr>
          <w:rFonts w:ascii="Garamond" w:hAnsi="Garamond"/>
          <w:b/>
          <w:color w:val="000000"/>
          <w:sz w:val="24"/>
          <w:szCs w:val="24"/>
        </w:rPr>
        <w:t>A fentiekre tekintettel jelen szerződésmódosítás megfelel a Kbt. 141. § (4) bekezdés c) pontjában foglalt együttes feltételeknek, így a szerződésmódosítás jogszerű.</w:t>
      </w:r>
    </w:p>
    <w:p w14:paraId="1FD6A8D3" w14:textId="77777777" w:rsidR="00E83859" w:rsidRPr="00DD752F" w:rsidRDefault="00E83859" w:rsidP="00E83859">
      <w:pPr>
        <w:spacing w:after="0" w:line="240" w:lineRule="auto"/>
        <w:jc w:val="both"/>
        <w:rPr>
          <w:rFonts w:ascii="Garamond" w:hAnsi="Garamond"/>
          <w:sz w:val="24"/>
          <w:szCs w:val="24"/>
        </w:rPr>
      </w:pPr>
    </w:p>
    <w:p w14:paraId="09177568" w14:textId="77777777" w:rsidR="00E83859" w:rsidRPr="00DD752F" w:rsidRDefault="00E83859" w:rsidP="00E83859">
      <w:pPr>
        <w:spacing w:after="0" w:line="240" w:lineRule="auto"/>
        <w:jc w:val="both"/>
        <w:rPr>
          <w:rFonts w:ascii="Garamond" w:hAnsi="Garamond"/>
          <w:sz w:val="24"/>
          <w:szCs w:val="24"/>
        </w:rPr>
      </w:pPr>
    </w:p>
    <w:p w14:paraId="63FFC695" w14:textId="77777777" w:rsidR="00E83859" w:rsidRPr="00DD752F" w:rsidRDefault="00E83859" w:rsidP="00E83859">
      <w:pPr>
        <w:pStyle w:val="Listaszerbekezds"/>
        <w:numPr>
          <w:ilvl w:val="0"/>
          <w:numId w:val="2"/>
        </w:numPr>
        <w:spacing w:after="0" w:line="240" w:lineRule="auto"/>
        <w:ind w:left="709" w:hanging="709"/>
        <w:jc w:val="both"/>
        <w:rPr>
          <w:rFonts w:ascii="Garamond" w:hAnsi="Garamond"/>
          <w:b/>
          <w:sz w:val="24"/>
          <w:szCs w:val="24"/>
          <w:u w:val="single"/>
        </w:rPr>
      </w:pPr>
      <w:r w:rsidRPr="00DD752F">
        <w:rPr>
          <w:rFonts w:ascii="Garamond" w:hAnsi="Garamond"/>
          <w:b/>
          <w:sz w:val="24"/>
          <w:szCs w:val="24"/>
          <w:u w:val="single"/>
        </w:rPr>
        <w:t>Egyéb rendelkezések</w:t>
      </w:r>
    </w:p>
    <w:p w14:paraId="66723DFC" w14:textId="77777777" w:rsidR="00E83859" w:rsidRPr="00DD752F" w:rsidRDefault="00E83859" w:rsidP="00E83859">
      <w:pPr>
        <w:pStyle w:val="Listaszerbekezds"/>
        <w:spacing w:after="0" w:line="240" w:lineRule="auto"/>
        <w:ind w:left="709"/>
        <w:jc w:val="both"/>
        <w:rPr>
          <w:rFonts w:ascii="Garamond" w:hAnsi="Garamond"/>
          <w:sz w:val="24"/>
          <w:szCs w:val="24"/>
          <w:u w:val="single"/>
        </w:rPr>
      </w:pPr>
    </w:p>
    <w:p w14:paraId="47C0D00D" w14:textId="77777777" w:rsidR="00E83859" w:rsidRPr="00DD752F" w:rsidRDefault="00E83859" w:rsidP="00E83859">
      <w:pPr>
        <w:pStyle w:val="Listaszerbekezds"/>
        <w:numPr>
          <w:ilvl w:val="0"/>
          <w:numId w:val="3"/>
        </w:numPr>
        <w:spacing w:after="0" w:line="240" w:lineRule="auto"/>
        <w:ind w:left="709" w:hanging="709"/>
        <w:contextualSpacing w:val="0"/>
        <w:jc w:val="both"/>
        <w:rPr>
          <w:rFonts w:ascii="Garamond" w:hAnsi="Garamond"/>
          <w:sz w:val="24"/>
          <w:szCs w:val="24"/>
        </w:rPr>
      </w:pPr>
      <w:r w:rsidRPr="00DD752F">
        <w:rPr>
          <w:rFonts w:ascii="Garamond" w:hAnsi="Garamond"/>
          <w:sz w:val="24"/>
          <w:szCs w:val="24"/>
        </w:rPr>
        <w:t xml:space="preserve">A Szerződés jelen módosítása csak azt követően írható alá, amennyiben Megrendelő által a szerződéses ellenérték növekedésének fedezésére benyújtott költségnövekmény-igény elfogadása megtörténik, annak alapján Megrendelő a módosított és hatályos Támogatási </w:t>
      </w:r>
      <w:r w:rsidRPr="00DD752F">
        <w:rPr>
          <w:rFonts w:ascii="Garamond" w:hAnsi="Garamond"/>
          <w:sz w:val="24"/>
          <w:szCs w:val="24"/>
        </w:rPr>
        <w:lastRenderedPageBreak/>
        <w:t xml:space="preserve">Szerződéseket kézhez vette, és arról vállalkozót értesítette. A Szerződés jelen módosítással nem érintett rendelkezései változatlan tartalommal hatályban maradnak. </w:t>
      </w:r>
    </w:p>
    <w:p w14:paraId="4AFA64F4" w14:textId="77777777" w:rsidR="00E83859" w:rsidRPr="00DD752F" w:rsidRDefault="00E83859" w:rsidP="00E83859">
      <w:pPr>
        <w:spacing w:after="0" w:line="240" w:lineRule="auto"/>
        <w:jc w:val="both"/>
        <w:rPr>
          <w:rFonts w:ascii="Garamond" w:hAnsi="Garamond" w:cs="Times New Roman"/>
          <w:sz w:val="24"/>
          <w:szCs w:val="24"/>
        </w:rPr>
      </w:pPr>
    </w:p>
    <w:p w14:paraId="02FFC381" w14:textId="77777777" w:rsidR="00E83859" w:rsidRPr="00DD752F" w:rsidRDefault="00E83859" w:rsidP="00E83859">
      <w:pPr>
        <w:spacing w:after="0" w:line="240" w:lineRule="auto"/>
        <w:ind w:left="709" w:hanging="709"/>
        <w:jc w:val="both"/>
        <w:rPr>
          <w:rFonts w:ascii="Garamond" w:hAnsi="Garamond" w:cs="Times New Roman"/>
          <w:sz w:val="24"/>
          <w:szCs w:val="24"/>
        </w:rPr>
      </w:pPr>
      <w:r w:rsidRPr="00DD752F">
        <w:rPr>
          <w:rFonts w:ascii="Garamond" w:hAnsi="Garamond" w:cs="Times New Roman"/>
          <w:bCs/>
          <w:sz w:val="24"/>
          <w:szCs w:val="24"/>
        </w:rPr>
        <w:t>2./</w:t>
      </w:r>
      <w:r w:rsidRPr="00DD752F">
        <w:rPr>
          <w:rFonts w:ascii="Garamond" w:hAnsi="Garamond" w:cs="Times New Roman"/>
          <w:sz w:val="24"/>
          <w:szCs w:val="24"/>
        </w:rPr>
        <w:tab/>
        <w:t>A jelen Szerződésmódosításban nem szabályozott kérdések tekintetében a Szerződés, a közbeszerzésekről szóló 2015. évi CXLIII. törvény, továbbá a Ptk. rendelkezései az irányadók.</w:t>
      </w:r>
    </w:p>
    <w:p w14:paraId="28FBDDB1" w14:textId="77777777" w:rsidR="00E83859" w:rsidRPr="00DD752F" w:rsidRDefault="00E83859" w:rsidP="00E83859">
      <w:pPr>
        <w:spacing w:after="0" w:line="240" w:lineRule="auto"/>
        <w:jc w:val="both"/>
        <w:rPr>
          <w:rFonts w:ascii="Garamond" w:hAnsi="Garamond" w:cs="Times New Roman"/>
          <w:sz w:val="24"/>
          <w:szCs w:val="24"/>
        </w:rPr>
      </w:pPr>
    </w:p>
    <w:p w14:paraId="6174A120" w14:textId="77777777" w:rsidR="00E83859" w:rsidRPr="00DD752F" w:rsidRDefault="00E83859" w:rsidP="00E83859">
      <w:pPr>
        <w:spacing w:after="0" w:line="240" w:lineRule="auto"/>
        <w:jc w:val="both"/>
        <w:rPr>
          <w:rFonts w:ascii="Garamond" w:hAnsi="Garamond" w:cs="Times New Roman"/>
          <w:sz w:val="24"/>
          <w:szCs w:val="24"/>
        </w:rPr>
      </w:pPr>
      <w:r w:rsidRPr="00DD752F">
        <w:rPr>
          <w:rFonts w:ascii="Garamond" w:hAnsi="Garamond" w:cs="Times New Roman"/>
          <w:sz w:val="24"/>
          <w:szCs w:val="24"/>
        </w:rPr>
        <w:t>Felek jelen szerződést – elolvasás és értelmezés után –, mint akaratukkal mindenben egyezőt cégszerűen aláírták.</w:t>
      </w:r>
    </w:p>
    <w:p w14:paraId="52562097" w14:textId="77777777" w:rsidR="00E83859" w:rsidRDefault="00E83859" w:rsidP="00E83859">
      <w:pPr>
        <w:spacing w:after="0" w:line="240" w:lineRule="auto"/>
        <w:jc w:val="both"/>
        <w:rPr>
          <w:rFonts w:ascii="Garamond" w:hAnsi="Garamond" w:cs="Times New Roman"/>
          <w:sz w:val="24"/>
          <w:szCs w:val="24"/>
        </w:rPr>
      </w:pPr>
    </w:p>
    <w:p w14:paraId="4D2D2423" w14:textId="77777777" w:rsidR="00E83859" w:rsidRDefault="00E83859" w:rsidP="00E83859">
      <w:pPr>
        <w:spacing w:after="0" w:line="240" w:lineRule="auto"/>
        <w:jc w:val="both"/>
        <w:rPr>
          <w:rFonts w:ascii="Garamond" w:hAnsi="Garamond" w:cs="Times New Roman"/>
          <w:sz w:val="24"/>
          <w:szCs w:val="24"/>
        </w:rPr>
      </w:pPr>
    </w:p>
    <w:p w14:paraId="57D0200A" w14:textId="77777777" w:rsidR="00E83859" w:rsidRPr="003035CA" w:rsidRDefault="00E83859" w:rsidP="00E83859">
      <w:pPr>
        <w:spacing w:after="0" w:line="240" w:lineRule="auto"/>
        <w:jc w:val="both"/>
        <w:rPr>
          <w:rFonts w:ascii="Garamond" w:hAnsi="Garamond" w:cs="Times New Roman"/>
          <w:sz w:val="24"/>
          <w:szCs w:val="24"/>
        </w:rPr>
      </w:pPr>
    </w:p>
    <w:p w14:paraId="666A0ADA" w14:textId="77777777" w:rsidR="00E83859" w:rsidRPr="00A25A08" w:rsidRDefault="00E83859" w:rsidP="00E83859">
      <w:pPr>
        <w:spacing w:after="0" w:line="240" w:lineRule="auto"/>
        <w:jc w:val="both"/>
        <w:rPr>
          <w:rFonts w:ascii="Garamond" w:hAnsi="Garamond"/>
          <w:sz w:val="24"/>
          <w:szCs w:val="24"/>
        </w:rPr>
      </w:pPr>
    </w:p>
    <w:tbl>
      <w:tblPr>
        <w:tblW w:w="9211" w:type="dxa"/>
        <w:jc w:val="center"/>
        <w:tblLayout w:type="fixed"/>
        <w:tblCellMar>
          <w:left w:w="70" w:type="dxa"/>
          <w:right w:w="70" w:type="dxa"/>
        </w:tblCellMar>
        <w:tblLook w:val="01E0" w:firstRow="1" w:lastRow="1" w:firstColumn="1" w:lastColumn="1" w:noHBand="0" w:noVBand="0"/>
      </w:tblPr>
      <w:tblGrid>
        <w:gridCol w:w="4077"/>
        <w:gridCol w:w="709"/>
        <w:gridCol w:w="4425"/>
      </w:tblGrid>
      <w:tr w:rsidR="00E83859" w:rsidRPr="00A25A08" w14:paraId="1B4921E5" w14:textId="77777777" w:rsidTr="00A95FF8">
        <w:trPr>
          <w:jc w:val="center"/>
        </w:trPr>
        <w:tc>
          <w:tcPr>
            <w:tcW w:w="4077" w:type="dxa"/>
            <w:tcBorders>
              <w:bottom w:val="single" w:sz="4" w:space="0" w:color="auto"/>
            </w:tcBorders>
          </w:tcPr>
          <w:p w14:paraId="0D2F4AA1" w14:textId="77777777" w:rsidR="00E83859" w:rsidRPr="00A25A08" w:rsidRDefault="00E83859" w:rsidP="00A95FF8">
            <w:pPr>
              <w:tabs>
                <w:tab w:val="left" w:pos="1065"/>
              </w:tabs>
              <w:spacing w:after="0" w:line="240" w:lineRule="auto"/>
              <w:jc w:val="both"/>
              <w:rPr>
                <w:rFonts w:ascii="Garamond" w:hAnsi="Garamond"/>
                <w:sz w:val="24"/>
                <w:szCs w:val="24"/>
              </w:rPr>
            </w:pPr>
            <w:r w:rsidRPr="00A25A08">
              <w:rPr>
                <w:rFonts w:ascii="Garamond" w:hAnsi="Garamond"/>
                <w:sz w:val="24"/>
                <w:szCs w:val="24"/>
              </w:rPr>
              <w:t xml:space="preserve">Mór, </w:t>
            </w:r>
            <w:proofErr w:type="gramStart"/>
            <w:r>
              <w:rPr>
                <w:rFonts w:ascii="Garamond" w:hAnsi="Garamond"/>
                <w:sz w:val="24"/>
                <w:szCs w:val="24"/>
              </w:rPr>
              <w:t>…….</w:t>
            </w:r>
            <w:proofErr w:type="gramEnd"/>
            <w:r w:rsidRPr="00A25A08">
              <w:rPr>
                <w:rFonts w:ascii="Garamond" w:hAnsi="Garamond"/>
                <w:sz w:val="24"/>
                <w:szCs w:val="24"/>
              </w:rPr>
              <w:t>. …………. …</w:t>
            </w:r>
          </w:p>
          <w:p w14:paraId="6A4EB882" w14:textId="77777777" w:rsidR="00E83859" w:rsidRPr="00A25A08" w:rsidRDefault="00E83859" w:rsidP="00A95FF8">
            <w:pPr>
              <w:tabs>
                <w:tab w:val="left" w:pos="1065"/>
              </w:tabs>
              <w:spacing w:after="0" w:line="240" w:lineRule="auto"/>
              <w:jc w:val="both"/>
              <w:rPr>
                <w:rFonts w:ascii="Garamond" w:hAnsi="Garamond"/>
                <w:sz w:val="24"/>
                <w:szCs w:val="24"/>
              </w:rPr>
            </w:pPr>
          </w:p>
          <w:p w14:paraId="69095201" w14:textId="77777777" w:rsidR="00E83859" w:rsidRDefault="00E83859" w:rsidP="00A95FF8">
            <w:pPr>
              <w:tabs>
                <w:tab w:val="left" w:pos="1065"/>
              </w:tabs>
              <w:spacing w:after="0" w:line="240" w:lineRule="auto"/>
              <w:jc w:val="both"/>
              <w:rPr>
                <w:rFonts w:ascii="Garamond" w:hAnsi="Garamond"/>
                <w:sz w:val="24"/>
                <w:szCs w:val="24"/>
              </w:rPr>
            </w:pPr>
          </w:p>
          <w:p w14:paraId="259BD718" w14:textId="77777777" w:rsidR="00E83859" w:rsidRDefault="00E83859" w:rsidP="00A95FF8">
            <w:pPr>
              <w:tabs>
                <w:tab w:val="left" w:pos="1065"/>
              </w:tabs>
              <w:spacing w:after="0" w:line="240" w:lineRule="auto"/>
              <w:jc w:val="both"/>
              <w:rPr>
                <w:rFonts w:ascii="Garamond" w:hAnsi="Garamond"/>
                <w:sz w:val="24"/>
                <w:szCs w:val="24"/>
              </w:rPr>
            </w:pPr>
          </w:p>
          <w:p w14:paraId="66976851" w14:textId="77777777" w:rsidR="00E83859" w:rsidRPr="00A25A08" w:rsidRDefault="00E83859" w:rsidP="00A95FF8">
            <w:pPr>
              <w:tabs>
                <w:tab w:val="left" w:pos="1065"/>
              </w:tabs>
              <w:spacing w:after="0" w:line="240" w:lineRule="auto"/>
              <w:jc w:val="both"/>
              <w:rPr>
                <w:rFonts w:ascii="Garamond" w:hAnsi="Garamond"/>
                <w:sz w:val="24"/>
                <w:szCs w:val="24"/>
              </w:rPr>
            </w:pPr>
          </w:p>
          <w:p w14:paraId="5989D8E5" w14:textId="77777777" w:rsidR="00E83859" w:rsidRPr="00A25A08" w:rsidRDefault="00E83859" w:rsidP="00A95FF8">
            <w:pPr>
              <w:tabs>
                <w:tab w:val="left" w:pos="1065"/>
              </w:tabs>
              <w:spacing w:after="0" w:line="240" w:lineRule="auto"/>
              <w:jc w:val="both"/>
              <w:rPr>
                <w:rFonts w:ascii="Garamond" w:hAnsi="Garamond"/>
                <w:sz w:val="24"/>
                <w:szCs w:val="24"/>
              </w:rPr>
            </w:pPr>
          </w:p>
        </w:tc>
        <w:tc>
          <w:tcPr>
            <w:tcW w:w="709" w:type="dxa"/>
          </w:tcPr>
          <w:p w14:paraId="1852B17F" w14:textId="77777777" w:rsidR="00E83859" w:rsidRPr="00A25A08" w:rsidRDefault="00E83859" w:rsidP="00A95FF8">
            <w:pPr>
              <w:tabs>
                <w:tab w:val="left" w:pos="1065"/>
              </w:tabs>
              <w:spacing w:after="0" w:line="240" w:lineRule="auto"/>
              <w:jc w:val="both"/>
              <w:rPr>
                <w:rFonts w:ascii="Garamond" w:hAnsi="Garamond"/>
                <w:sz w:val="24"/>
                <w:szCs w:val="24"/>
              </w:rPr>
            </w:pPr>
          </w:p>
        </w:tc>
        <w:tc>
          <w:tcPr>
            <w:tcW w:w="4425" w:type="dxa"/>
            <w:tcBorders>
              <w:bottom w:val="single" w:sz="4" w:space="0" w:color="auto"/>
            </w:tcBorders>
          </w:tcPr>
          <w:p w14:paraId="3770029E" w14:textId="77777777" w:rsidR="00E83859" w:rsidRPr="00A25A08" w:rsidRDefault="00E83859" w:rsidP="00A95FF8">
            <w:pPr>
              <w:tabs>
                <w:tab w:val="left" w:pos="1065"/>
              </w:tabs>
              <w:spacing w:after="0" w:line="240" w:lineRule="auto"/>
              <w:jc w:val="both"/>
              <w:rPr>
                <w:rFonts w:ascii="Garamond" w:hAnsi="Garamond"/>
                <w:sz w:val="24"/>
                <w:szCs w:val="24"/>
              </w:rPr>
            </w:pPr>
            <w:r w:rsidRPr="00A25A08">
              <w:rPr>
                <w:rFonts w:ascii="Garamond" w:hAnsi="Garamond"/>
                <w:sz w:val="24"/>
                <w:szCs w:val="24"/>
              </w:rPr>
              <w:t xml:space="preserve">Mór, </w:t>
            </w:r>
            <w:r>
              <w:rPr>
                <w:rFonts w:ascii="Garamond" w:hAnsi="Garamond"/>
                <w:sz w:val="24"/>
                <w:szCs w:val="24"/>
              </w:rPr>
              <w:t>……</w:t>
            </w:r>
            <w:r w:rsidRPr="00A25A08">
              <w:rPr>
                <w:rFonts w:ascii="Garamond" w:hAnsi="Garamond"/>
                <w:sz w:val="24"/>
                <w:szCs w:val="24"/>
              </w:rPr>
              <w:t xml:space="preserve"> ……………. …</w:t>
            </w:r>
          </w:p>
          <w:p w14:paraId="5F214B0D" w14:textId="77777777" w:rsidR="00E83859" w:rsidRPr="00A25A08" w:rsidRDefault="00E83859" w:rsidP="00A95FF8">
            <w:pPr>
              <w:tabs>
                <w:tab w:val="left" w:pos="1065"/>
              </w:tabs>
              <w:spacing w:after="0" w:line="240" w:lineRule="auto"/>
              <w:jc w:val="both"/>
              <w:rPr>
                <w:rFonts w:ascii="Garamond" w:hAnsi="Garamond"/>
                <w:sz w:val="24"/>
                <w:szCs w:val="24"/>
              </w:rPr>
            </w:pPr>
          </w:p>
        </w:tc>
      </w:tr>
      <w:tr w:rsidR="00E83859" w:rsidRPr="00A25A08" w14:paraId="60577BC8" w14:textId="77777777" w:rsidTr="00A95FF8">
        <w:trPr>
          <w:trHeight w:val="504"/>
          <w:jc w:val="center"/>
        </w:trPr>
        <w:tc>
          <w:tcPr>
            <w:tcW w:w="4077" w:type="dxa"/>
            <w:tcBorders>
              <w:top w:val="single" w:sz="4" w:space="0" w:color="000000"/>
            </w:tcBorders>
          </w:tcPr>
          <w:p w14:paraId="5FA5FE72" w14:textId="77777777" w:rsidR="00E83859" w:rsidRPr="00A25A08" w:rsidRDefault="00E83859" w:rsidP="00A95FF8">
            <w:pPr>
              <w:snapToGrid w:val="0"/>
              <w:spacing w:after="0" w:line="240" w:lineRule="auto"/>
              <w:jc w:val="center"/>
              <w:rPr>
                <w:rFonts w:ascii="Garamond" w:eastAsia="Calibri" w:hAnsi="Garamond"/>
                <w:b/>
                <w:bCs/>
                <w:sz w:val="24"/>
                <w:szCs w:val="24"/>
              </w:rPr>
            </w:pPr>
            <w:r w:rsidRPr="00A25A08">
              <w:rPr>
                <w:rFonts w:ascii="Garamond" w:eastAsia="Calibri" w:hAnsi="Garamond"/>
                <w:b/>
                <w:bCs/>
                <w:sz w:val="24"/>
                <w:szCs w:val="24"/>
              </w:rPr>
              <w:t>Mór Városi Önkormányzat</w:t>
            </w:r>
          </w:p>
          <w:p w14:paraId="7E1F345A" w14:textId="77777777" w:rsidR="00E83859" w:rsidRPr="00A25A08" w:rsidRDefault="00E83859" w:rsidP="00A95FF8">
            <w:pPr>
              <w:tabs>
                <w:tab w:val="left" w:pos="1065"/>
                <w:tab w:val="center" w:pos="1968"/>
              </w:tabs>
              <w:spacing w:after="0" w:line="240" w:lineRule="auto"/>
              <w:jc w:val="center"/>
              <w:rPr>
                <w:rFonts w:ascii="Garamond" w:eastAsia="Calibri" w:hAnsi="Garamond"/>
                <w:bCs/>
                <w:sz w:val="24"/>
                <w:szCs w:val="24"/>
              </w:rPr>
            </w:pPr>
          </w:p>
          <w:p w14:paraId="0E2851D7" w14:textId="77777777" w:rsidR="00E83859" w:rsidRPr="00A25A08" w:rsidRDefault="00E83859" w:rsidP="00A95FF8">
            <w:pPr>
              <w:tabs>
                <w:tab w:val="left" w:pos="1065"/>
                <w:tab w:val="center" w:pos="1968"/>
              </w:tabs>
              <w:spacing w:after="0" w:line="240" w:lineRule="auto"/>
              <w:jc w:val="center"/>
              <w:rPr>
                <w:rFonts w:ascii="Garamond" w:hAnsi="Garamond"/>
                <w:b/>
                <w:bCs/>
                <w:sz w:val="24"/>
                <w:szCs w:val="24"/>
              </w:rPr>
            </w:pPr>
            <w:r w:rsidRPr="00A25A08">
              <w:rPr>
                <w:rFonts w:ascii="Garamond" w:eastAsia="Calibri" w:hAnsi="Garamond"/>
                <w:bCs/>
                <w:sz w:val="24"/>
                <w:szCs w:val="24"/>
              </w:rPr>
              <w:t>(Megrendelő)</w:t>
            </w:r>
          </w:p>
        </w:tc>
        <w:tc>
          <w:tcPr>
            <w:tcW w:w="709" w:type="dxa"/>
          </w:tcPr>
          <w:p w14:paraId="3BD8635F" w14:textId="77777777" w:rsidR="00E83859" w:rsidRPr="00A25A08" w:rsidRDefault="00E83859" w:rsidP="00A95FF8">
            <w:pPr>
              <w:tabs>
                <w:tab w:val="left" w:pos="1065"/>
              </w:tabs>
              <w:spacing w:after="0" w:line="240" w:lineRule="auto"/>
              <w:jc w:val="both"/>
              <w:rPr>
                <w:rFonts w:ascii="Garamond" w:hAnsi="Garamond"/>
                <w:b/>
                <w:bCs/>
                <w:sz w:val="24"/>
                <w:szCs w:val="24"/>
              </w:rPr>
            </w:pPr>
          </w:p>
        </w:tc>
        <w:tc>
          <w:tcPr>
            <w:tcW w:w="4425" w:type="dxa"/>
            <w:tcBorders>
              <w:top w:val="single" w:sz="4" w:space="0" w:color="auto"/>
            </w:tcBorders>
          </w:tcPr>
          <w:p w14:paraId="77690B2D" w14:textId="77777777" w:rsidR="00E83859" w:rsidRPr="00A25A08" w:rsidRDefault="00E83859" w:rsidP="00A95FF8">
            <w:pPr>
              <w:tabs>
                <w:tab w:val="left" w:pos="1065"/>
                <w:tab w:val="center" w:pos="1968"/>
              </w:tabs>
              <w:spacing w:after="0" w:line="240" w:lineRule="auto"/>
              <w:jc w:val="center"/>
              <w:rPr>
                <w:rFonts w:ascii="Garamond" w:eastAsia="Calibri" w:hAnsi="Garamond"/>
                <w:bCs/>
                <w:sz w:val="24"/>
                <w:szCs w:val="24"/>
              </w:rPr>
            </w:pPr>
            <w:r w:rsidRPr="00A25A08">
              <w:rPr>
                <w:rFonts w:ascii="Garamond" w:eastAsia="Calibri" w:hAnsi="Garamond"/>
                <w:b/>
                <w:bCs/>
                <w:sz w:val="24"/>
                <w:szCs w:val="24"/>
              </w:rPr>
              <w:t>BUILD IT Mérnökiroda Korlátolt Felelősségű Társaság</w:t>
            </w:r>
          </w:p>
          <w:p w14:paraId="13DEAB1F" w14:textId="77777777" w:rsidR="00E83859" w:rsidRPr="00A25A08" w:rsidRDefault="00E83859" w:rsidP="00A95FF8">
            <w:pPr>
              <w:tabs>
                <w:tab w:val="left" w:pos="1065"/>
              </w:tabs>
              <w:spacing w:after="0" w:line="240" w:lineRule="auto"/>
              <w:jc w:val="center"/>
              <w:rPr>
                <w:rFonts w:ascii="Garamond" w:hAnsi="Garamond"/>
                <w:b/>
                <w:bCs/>
                <w:sz w:val="24"/>
                <w:szCs w:val="24"/>
              </w:rPr>
            </w:pPr>
            <w:r w:rsidRPr="00A25A08">
              <w:rPr>
                <w:rFonts w:ascii="Garamond" w:eastAsia="Calibri" w:hAnsi="Garamond"/>
                <w:bCs/>
                <w:sz w:val="24"/>
                <w:szCs w:val="24"/>
              </w:rPr>
              <w:t>(Vállalkozó)</w:t>
            </w:r>
          </w:p>
        </w:tc>
      </w:tr>
      <w:tr w:rsidR="00E83859" w:rsidRPr="00A25A08" w14:paraId="6CF788EC" w14:textId="77777777" w:rsidTr="00A95FF8">
        <w:trPr>
          <w:jc w:val="center"/>
        </w:trPr>
        <w:tc>
          <w:tcPr>
            <w:tcW w:w="4077" w:type="dxa"/>
          </w:tcPr>
          <w:p w14:paraId="1734985A" w14:textId="77777777" w:rsidR="00E83859" w:rsidRPr="00A25A08" w:rsidRDefault="00E83859" w:rsidP="00A95FF8">
            <w:pPr>
              <w:tabs>
                <w:tab w:val="left" w:pos="1065"/>
              </w:tabs>
              <w:spacing w:after="0" w:line="240" w:lineRule="auto"/>
              <w:jc w:val="center"/>
              <w:rPr>
                <w:rFonts w:ascii="Garamond" w:hAnsi="Garamond"/>
                <w:sz w:val="24"/>
                <w:szCs w:val="24"/>
              </w:rPr>
            </w:pPr>
            <w:r w:rsidRPr="00A25A08">
              <w:rPr>
                <w:rFonts w:ascii="Garamond" w:eastAsia="Calibri" w:hAnsi="Garamond"/>
                <w:sz w:val="24"/>
                <w:szCs w:val="24"/>
              </w:rPr>
              <w:t>képviseletében</w:t>
            </w:r>
          </w:p>
        </w:tc>
        <w:tc>
          <w:tcPr>
            <w:tcW w:w="709" w:type="dxa"/>
          </w:tcPr>
          <w:p w14:paraId="57C56F5D" w14:textId="77777777" w:rsidR="00E83859" w:rsidRPr="00A25A08" w:rsidRDefault="00E83859" w:rsidP="00A95FF8">
            <w:pPr>
              <w:tabs>
                <w:tab w:val="left" w:pos="1065"/>
              </w:tabs>
              <w:spacing w:after="0" w:line="240" w:lineRule="auto"/>
              <w:jc w:val="both"/>
              <w:rPr>
                <w:rFonts w:ascii="Garamond" w:hAnsi="Garamond"/>
                <w:sz w:val="24"/>
                <w:szCs w:val="24"/>
              </w:rPr>
            </w:pPr>
          </w:p>
        </w:tc>
        <w:tc>
          <w:tcPr>
            <w:tcW w:w="4425" w:type="dxa"/>
          </w:tcPr>
          <w:p w14:paraId="4C4E253E" w14:textId="77777777" w:rsidR="00E83859" w:rsidRPr="00A25A08" w:rsidRDefault="00E83859" w:rsidP="00A95FF8">
            <w:pPr>
              <w:tabs>
                <w:tab w:val="left" w:pos="1065"/>
              </w:tabs>
              <w:spacing w:after="0" w:line="240" w:lineRule="auto"/>
              <w:jc w:val="center"/>
              <w:rPr>
                <w:rFonts w:ascii="Garamond" w:hAnsi="Garamond"/>
                <w:sz w:val="24"/>
                <w:szCs w:val="24"/>
              </w:rPr>
            </w:pPr>
            <w:r w:rsidRPr="00A25A08">
              <w:rPr>
                <w:rFonts w:ascii="Garamond" w:eastAsia="Calibri" w:hAnsi="Garamond"/>
                <w:sz w:val="24"/>
                <w:szCs w:val="24"/>
              </w:rPr>
              <w:t>képviseletében</w:t>
            </w:r>
          </w:p>
        </w:tc>
      </w:tr>
      <w:tr w:rsidR="00E83859" w:rsidRPr="00A25A08" w14:paraId="7964E350" w14:textId="77777777" w:rsidTr="00A95FF8">
        <w:trPr>
          <w:jc w:val="center"/>
        </w:trPr>
        <w:tc>
          <w:tcPr>
            <w:tcW w:w="4077" w:type="dxa"/>
          </w:tcPr>
          <w:p w14:paraId="6F4CB7EC" w14:textId="77777777" w:rsidR="00E83859" w:rsidRPr="00A25A08" w:rsidRDefault="00E83859" w:rsidP="00A95FF8">
            <w:pPr>
              <w:tabs>
                <w:tab w:val="left" w:pos="1065"/>
              </w:tabs>
              <w:spacing w:after="0" w:line="240" w:lineRule="auto"/>
              <w:jc w:val="center"/>
              <w:rPr>
                <w:rFonts w:ascii="Garamond" w:hAnsi="Garamond"/>
                <w:sz w:val="24"/>
                <w:szCs w:val="24"/>
              </w:rPr>
            </w:pPr>
            <w:r w:rsidRPr="00A25A08">
              <w:rPr>
                <w:rFonts w:ascii="Garamond" w:eastAsia="Calibri" w:hAnsi="Garamond"/>
                <w:b/>
                <w:bCs/>
                <w:sz w:val="24"/>
                <w:szCs w:val="24"/>
              </w:rPr>
              <w:t>Fenyves Péter polgármester</w:t>
            </w:r>
          </w:p>
        </w:tc>
        <w:tc>
          <w:tcPr>
            <w:tcW w:w="709" w:type="dxa"/>
          </w:tcPr>
          <w:p w14:paraId="6D38D20A" w14:textId="77777777" w:rsidR="00E83859" w:rsidRPr="00A25A08" w:rsidRDefault="00E83859" w:rsidP="00A95FF8">
            <w:pPr>
              <w:tabs>
                <w:tab w:val="left" w:pos="1065"/>
              </w:tabs>
              <w:spacing w:after="0" w:line="240" w:lineRule="auto"/>
              <w:jc w:val="both"/>
              <w:rPr>
                <w:rFonts w:ascii="Garamond" w:hAnsi="Garamond"/>
                <w:sz w:val="24"/>
                <w:szCs w:val="24"/>
              </w:rPr>
            </w:pPr>
          </w:p>
        </w:tc>
        <w:tc>
          <w:tcPr>
            <w:tcW w:w="4425" w:type="dxa"/>
          </w:tcPr>
          <w:p w14:paraId="37DECCD5" w14:textId="77777777" w:rsidR="00E83859" w:rsidRPr="00A25A08" w:rsidRDefault="00E83859" w:rsidP="00A95FF8">
            <w:pPr>
              <w:tabs>
                <w:tab w:val="left" w:pos="1065"/>
              </w:tabs>
              <w:spacing w:after="0" w:line="240" w:lineRule="auto"/>
              <w:jc w:val="center"/>
              <w:rPr>
                <w:rFonts w:ascii="Garamond" w:hAnsi="Garamond"/>
                <w:b/>
                <w:sz w:val="24"/>
                <w:szCs w:val="24"/>
              </w:rPr>
            </w:pPr>
            <w:r w:rsidRPr="00A25A08">
              <w:rPr>
                <w:rFonts w:ascii="Garamond" w:eastAsia="Calibri" w:hAnsi="Garamond"/>
                <w:b/>
                <w:bCs/>
                <w:sz w:val="24"/>
                <w:szCs w:val="24"/>
              </w:rPr>
              <w:t>Sárkány Márk ügyvezető</w:t>
            </w:r>
          </w:p>
        </w:tc>
      </w:tr>
    </w:tbl>
    <w:p w14:paraId="2E716F65" w14:textId="77777777" w:rsidR="00E83859" w:rsidRPr="00A25A08" w:rsidRDefault="00E83859" w:rsidP="00E83859">
      <w:pPr>
        <w:spacing w:after="0" w:line="240" w:lineRule="auto"/>
        <w:jc w:val="both"/>
        <w:rPr>
          <w:rFonts w:ascii="Garamond" w:hAnsi="Garamond" w:cs="Times New Roman"/>
          <w:sz w:val="24"/>
          <w:szCs w:val="24"/>
        </w:rPr>
      </w:pPr>
    </w:p>
    <w:p w14:paraId="50CB4EEE" w14:textId="77777777" w:rsidR="00E83859" w:rsidRPr="00A25A08" w:rsidRDefault="00E83859" w:rsidP="00E83859">
      <w:pPr>
        <w:spacing w:after="0" w:line="240" w:lineRule="auto"/>
        <w:jc w:val="both"/>
        <w:rPr>
          <w:rFonts w:ascii="Garamond" w:hAnsi="Garamond" w:cs="Times New Roman"/>
          <w:sz w:val="24"/>
          <w:szCs w:val="24"/>
        </w:rPr>
      </w:pPr>
    </w:p>
    <w:p w14:paraId="229FE71D" w14:textId="77777777" w:rsidR="00E83859" w:rsidRPr="00A25A08" w:rsidRDefault="00E83859" w:rsidP="00E83859">
      <w:pPr>
        <w:tabs>
          <w:tab w:val="right" w:pos="0"/>
          <w:tab w:val="center" w:pos="2268"/>
          <w:tab w:val="center" w:pos="2410"/>
          <w:tab w:val="center" w:pos="6804"/>
          <w:tab w:val="center" w:pos="7088"/>
        </w:tabs>
        <w:spacing w:after="0" w:line="240" w:lineRule="auto"/>
        <w:rPr>
          <w:rFonts w:ascii="Garamond" w:hAnsi="Garamond"/>
          <w:sz w:val="24"/>
          <w:szCs w:val="24"/>
        </w:rPr>
      </w:pPr>
      <w:r w:rsidRPr="00A25A08">
        <w:rPr>
          <w:rFonts w:ascii="Garamond" w:hAnsi="Garamond"/>
          <w:sz w:val="24"/>
          <w:szCs w:val="24"/>
        </w:rPr>
        <w:tab/>
        <w:t>Jogi ellenjegyző:</w:t>
      </w:r>
      <w:r w:rsidRPr="00A25A08">
        <w:rPr>
          <w:rFonts w:ascii="Garamond" w:hAnsi="Garamond"/>
          <w:sz w:val="24"/>
          <w:szCs w:val="24"/>
        </w:rPr>
        <w:tab/>
        <w:t>Pénzügyi ellenjegyző:</w:t>
      </w:r>
    </w:p>
    <w:p w14:paraId="6B721787" w14:textId="77777777" w:rsidR="00E83859" w:rsidRPr="00A25A08" w:rsidRDefault="00E83859" w:rsidP="00E83859">
      <w:pPr>
        <w:tabs>
          <w:tab w:val="center" w:pos="2268"/>
          <w:tab w:val="center" w:pos="6804"/>
          <w:tab w:val="center" w:pos="9354"/>
        </w:tabs>
        <w:spacing w:after="0" w:line="240" w:lineRule="auto"/>
        <w:rPr>
          <w:rFonts w:ascii="Garamond" w:hAnsi="Garamond"/>
          <w:sz w:val="24"/>
          <w:szCs w:val="24"/>
        </w:rPr>
      </w:pPr>
      <w:r w:rsidRPr="00A25A08">
        <w:rPr>
          <w:rFonts w:ascii="Garamond" w:hAnsi="Garamond"/>
          <w:sz w:val="24"/>
          <w:szCs w:val="24"/>
        </w:rPr>
        <w:tab/>
      </w:r>
      <w:r w:rsidRPr="00A25A08">
        <w:rPr>
          <w:rFonts w:ascii="Garamond" w:hAnsi="Garamond"/>
          <w:bCs/>
          <w:sz w:val="24"/>
          <w:szCs w:val="24"/>
        </w:rPr>
        <w:t xml:space="preserve">Mór, </w:t>
      </w:r>
      <w:r>
        <w:rPr>
          <w:rFonts w:ascii="Garamond" w:hAnsi="Garamond"/>
          <w:bCs/>
          <w:sz w:val="24"/>
          <w:szCs w:val="24"/>
        </w:rPr>
        <w:t>……..</w:t>
      </w:r>
      <w:r w:rsidRPr="00A25A08">
        <w:rPr>
          <w:rFonts w:ascii="Garamond" w:hAnsi="Garamond"/>
          <w:bCs/>
          <w:sz w:val="24"/>
          <w:szCs w:val="24"/>
        </w:rPr>
        <w:t>. ………………</w:t>
      </w:r>
      <w:r w:rsidRPr="00A25A08">
        <w:rPr>
          <w:rFonts w:ascii="Garamond" w:hAnsi="Garamond"/>
          <w:sz w:val="24"/>
          <w:szCs w:val="24"/>
        </w:rPr>
        <w:tab/>
      </w:r>
      <w:r w:rsidRPr="00A25A08">
        <w:rPr>
          <w:rFonts w:ascii="Garamond" w:hAnsi="Garamond"/>
          <w:bCs/>
          <w:sz w:val="24"/>
          <w:szCs w:val="24"/>
        </w:rPr>
        <w:t xml:space="preserve">Mór, </w:t>
      </w:r>
      <w:r>
        <w:rPr>
          <w:rFonts w:ascii="Garamond" w:hAnsi="Garamond"/>
          <w:bCs/>
          <w:sz w:val="24"/>
          <w:szCs w:val="24"/>
        </w:rPr>
        <w:t>…….</w:t>
      </w:r>
      <w:r w:rsidRPr="00A25A08">
        <w:rPr>
          <w:rFonts w:ascii="Garamond" w:hAnsi="Garamond"/>
          <w:bCs/>
          <w:sz w:val="24"/>
          <w:szCs w:val="24"/>
        </w:rPr>
        <w:t xml:space="preserve"> ………….…….</w:t>
      </w:r>
    </w:p>
    <w:p w14:paraId="12FD87A3" w14:textId="77777777" w:rsidR="00E83859" w:rsidRPr="00A25A08" w:rsidRDefault="00E83859" w:rsidP="00E83859">
      <w:pPr>
        <w:tabs>
          <w:tab w:val="right" w:pos="0"/>
          <w:tab w:val="center" w:pos="2268"/>
          <w:tab w:val="center" w:pos="6804"/>
        </w:tabs>
        <w:spacing w:after="0" w:line="240" w:lineRule="auto"/>
        <w:jc w:val="both"/>
        <w:rPr>
          <w:rFonts w:ascii="Garamond" w:hAnsi="Garamond"/>
          <w:sz w:val="24"/>
          <w:szCs w:val="24"/>
        </w:rPr>
      </w:pPr>
    </w:p>
    <w:p w14:paraId="234939C7" w14:textId="77777777" w:rsidR="00E83859" w:rsidRPr="00A25A08" w:rsidRDefault="00E83859" w:rsidP="00E83859">
      <w:pPr>
        <w:tabs>
          <w:tab w:val="right" w:pos="0"/>
          <w:tab w:val="center" w:pos="2268"/>
          <w:tab w:val="center" w:pos="6804"/>
        </w:tabs>
        <w:spacing w:after="0" w:line="240" w:lineRule="auto"/>
        <w:jc w:val="both"/>
        <w:rPr>
          <w:rFonts w:ascii="Garamond" w:hAnsi="Garamond"/>
          <w:sz w:val="24"/>
          <w:szCs w:val="24"/>
        </w:rPr>
      </w:pPr>
    </w:p>
    <w:p w14:paraId="4B3A5EA9" w14:textId="77777777" w:rsidR="00E83859" w:rsidRPr="00A25A08" w:rsidRDefault="00E83859" w:rsidP="00E83859">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w:t>
      </w:r>
      <w:r w:rsidRPr="00A25A08">
        <w:rPr>
          <w:rFonts w:ascii="Garamond" w:hAnsi="Garamond"/>
          <w:sz w:val="24"/>
          <w:szCs w:val="24"/>
        </w:rPr>
        <w:tab/>
        <w:t>………………………………..</w:t>
      </w:r>
    </w:p>
    <w:p w14:paraId="194E4B4B" w14:textId="77777777" w:rsidR="00E83859" w:rsidRPr="00A25A08" w:rsidRDefault="00E83859" w:rsidP="00E83859">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 xml:space="preserve">dr. Taba Nikoletta </w:t>
      </w:r>
      <w:r w:rsidRPr="00A25A08">
        <w:rPr>
          <w:rFonts w:ascii="Garamond" w:hAnsi="Garamond"/>
          <w:sz w:val="24"/>
          <w:szCs w:val="24"/>
        </w:rPr>
        <w:tab/>
        <w:t>Laki Csabáné</w:t>
      </w:r>
    </w:p>
    <w:p w14:paraId="6BAB442D" w14:textId="77777777" w:rsidR="00E83859" w:rsidRPr="00A25A08" w:rsidRDefault="00E83859" w:rsidP="00E83859">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 xml:space="preserve">jegyző </w:t>
      </w:r>
      <w:r w:rsidRPr="00A25A08">
        <w:rPr>
          <w:rFonts w:ascii="Garamond" w:hAnsi="Garamond"/>
          <w:sz w:val="24"/>
          <w:szCs w:val="24"/>
        </w:rPr>
        <w:tab/>
        <w:t>pénzügyi irodavezető</w:t>
      </w:r>
    </w:p>
    <w:p w14:paraId="24635A93" w14:textId="77777777" w:rsidR="00E83859" w:rsidRPr="00A25A08" w:rsidRDefault="00E83859" w:rsidP="00E83859">
      <w:pPr>
        <w:spacing w:after="0" w:line="240" w:lineRule="auto"/>
        <w:jc w:val="both"/>
        <w:rPr>
          <w:rFonts w:ascii="Garamond" w:eastAsia="Calibri" w:hAnsi="Garamond" w:cs="Times New Roman"/>
          <w:sz w:val="24"/>
          <w:szCs w:val="24"/>
        </w:rPr>
      </w:pPr>
    </w:p>
    <w:p w14:paraId="1296865B" w14:textId="77777777" w:rsidR="00E83859" w:rsidRPr="00A25A08" w:rsidRDefault="00E83859" w:rsidP="00E83859">
      <w:pPr>
        <w:spacing w:after="0" w:line="240" w:lineRule="auto"/>
        <w:jc w:val="both"/>
        <w:rPr>
          <w:rFonts w:ascii="Garamond" w:hAnsi="Garamond" w:cs="Times New Roman"/>
          <w:sz w:val="24"/>
          <w:szCs w:val="24"/>
        </w:rPr>
      </w:pPr>
    </w:p>
    <w:p w14:paraId="69A4ECD9" w14:textId="77777777" w:rsidR="00FF204A" w:rsidRDefault="00FF204A"/>
    <w:sectPr w:rsidR="00FF2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C47"/>
    <w:multiLevelType w:val="hybridMultilevel"/>
    <w:tmpl w:val="A0821F2E"/>
    <w:lvl w:ilvl="0" w:tplc="9678F644">
      <w:start w:val="1"/>
      <w:numFmt w:val="decimal"/>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104ABA"/>
    <w:multiLevelType w:val="hybridMultilevel"/>
    <w:tmpl w:val="A2D2E296"/>
    <w:lvl w:ilvl="0" w:tplc="23365252">
      <w:start w:val="1"/>
      <w:numFmt w:val="upperRoman"/>
      <w:lvlText w:val="%1."/>
      <w:lvlJc w:val="left"/>
      <w:pPr>
        <w:ind w:left="4046"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8023F3D"/>
    <w:multiLevelType w:val="hybridMultilevel"/>
    <w:tmpl w:val="BF584CBA"/>
    <w:lvl w:ilvl="0" w:tplc="F63CDC2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16cid:durableId="866914997">
    <w:abstractNumId w:val="0"/>
  </w:num>
  <w:num w:numId="2" w16cid:durableId="1660503343">
    <w:abstractNumId w:val="1"/>
  </w:num>
  <w:num w:numId="3" w16cid:durableId="141466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9"/>
    <w:rsid w:val="005B2FA0"/>
    <w:rsid w:val="00A67905"/>
    <w:rsid w:val="00E37B96"/>
    <w:rsid w:val="00E83859"/>
    <w:rsid w:val="00F654FA"/>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EB2E"/>
  <w15:chartTrackingRefBased/>
  <w15:docId w15:val="{93B0B764-B363-47E8-BE2C-3A91C3A0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3859"/>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E83859"/>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E838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9947</Characters>
  <Application>Microsoft Office Word</Application>
  <DocSecurity>0</DocSecurity>
  <Lines>82</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2</cp:revision>
  <dcterms:created xsi:type="dcterms:W3CDTF">2023-03-28T11:16:00Z</dcterms:created>
  <dcterms:modified xsi:type="dcterms:W3CDTF">2023-03-29T12:59:00Z</dcterms:modified>
</cp:coreProperties>
</file>