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79F2" w14:textId="025CDBDE" w:rsidR="00675DCE" w:rsidRPr="00675DCE" w:rsidRDefault="00675DCE" w:rsidP="00675DCE">
      <w:pPr>
        <w:numPr>
          <w:ilvl w:val="0"/>
          <w:numId w:val="58"/>
        </w:numPr>
        <w:spacing w:after="0" w:line="240" w:lineRule="auto"/>
        <w:contextualSpacing/>
        <w:jc w:val="right"/>
        <w:rPr>
          <w:rFonts w:ascii="Arial" w:eastAsia="Calibri" w:hAnsi="Arial" w:cs="Arial"/>
          <w:i/>
          <w:iCs/>
          <w:kern w:val="2"/>
          <w:sz w:val="24"/>
          <w:szCs w:val="24"/>
          <w:u w:val="single"/>
          <w14:ligatures w14:val="standardContextual"/>
        </w:rPr>
      </w:pPr>
      <w:bookmarkStart w:id="0" w:name="_Hlk166313986"/>
      <w:r w:rsidRPr="00675DCE">
        <w:rPr>
          <w:rFonts w:ascii="Arial" w:eastAsia="Calibri" w:hAnsi="Arial" w:cs="Arial"/>
          <w:i/>
          <w:iCs/>
          <w:kern w:val="2"/>
          <w:sz w:val="24"/>
          <w:szCs w:val="24"/>
          <w:u w:val="single"/>
          <w14:ligatures w14:val="standardContextual"/>
        </w:rPr>
        <w:t xml:space="preserve">melléklet a </w:t>
      </w:r>
      <w:r>
        <w:rPr>
          <w:rFonts w:ascii="Arial" w:eastAsia="Calibri" w:hAnsi="Arial" w:cs="Arial"/>
          <w:i/>
          <w:iCs/>
          <w:kern w:val="2"/>
          <w:sz w:val="24"/>
          <w:szCs w:val="24"/>
          <w:u w:val="single"/>
          <w14:ligatures w14:val="standardContextual"/>
        </w:rPr>
        <w:t>95</w:t>
      </w:r>
      <w:r w:rsidRPr="00675DCE">
        <w:rPr>
          <w:rFonts w:ascii="Arial" w:eastAsia="Calibri" w:hAnsi="Arial" w:cs="Arial"/>
          <w:i/>
          <w:iCs/>
          <w:kern w:val="2"/>
          <w:sz w:val="24"/>
          <w:szCs w:val="24"/>
          <w:u w:val="single"/>
          <w14:ligatures w14:val="standardContextual"/>
        </w:rPr>
        <w:t>/2026. (</w:t>
      </w:r>
      <w:r>
        <w:rPr>
          <w:rFonts w:ascii="Arial" w:eastAsia="Calibri" w:hAnsi="Arial" w:cs="Arial"/>
          <w:i/>
          <w:iCs/>
          <w:kern w:val="2"/>
          <w:sz w:val="24"/>
          <w:szCs w:val="24"/>
          <w:u w:val="single"/>
          <w14:ligatures w14:val="standardContextual"/>
        </w:rPr>
        <w:t>III.25.</w:t>
      </w:r>
      <w:r w:rsidRPr="00675DCE">
        <w:rPr>
          <w:rFonts w:ascii="Arial" w:eastAsia="Calibri" w:hAnsi="Arial" w:cs="Arial"/>
          <w:i/>
          <w:iCs/>
          <w:kern w:val="2"/>
          <w:sz w:val="24"/>
          <w:szCs w:val="24"/>
          <w:u w:val="single"/>
          <w14:ligatures w14:val="standardContextual"/>
        </w:rPr>
        <w:t>) határozathoz</w:t>
      </w:r>
    </w:p>
    <w:p w14:paraId="3580F934" w14:textId="77777777" w:rsidR="00675DCE" w:rsidRPr="00675DCE" w:rsidRDefault="00675DCE" w:rsidP="00675DCE">
      <w:pPr>
        <w:spacing w:after="240" w:line="240" w:lineRule="auto"/>
        <w:ind w:left="720"/>
        <w:contextualSpacing/>
        <w:jc w:val="both"/>
        <w:rPr>
          <w:rFonts w:ascii="Arial" w:eastAsia="Calibri" w:hAnsi="Arial" w:cs="Arial"/>
          <w:kern w:val="2"/>
          <w:sz w:val="24"/>
          <w:szCs w:val="24"/>
          <w:u w:val="single"/>
          <w14:ligatures w14:val="standardContextual"/>
        </w:rPr>
      </w:pPr>
    </w:p>
    <w:tbl>
      <w:tblPr>
        <w:tblStyle w:val="Rcsostblzat"/>
        <w:tblW w:w="0" w:type="auto"/>
        <w:tblInd w:w="0" w:type="dxa"/>
        <w:tblLook w:val="04A0" w:firstRow="1" w:lastRow="0" w:firstColumn="1" w:lastColumn="0" w:noHBand="0" w:noVBand="1"/>
      </w:tblPr>
      <w:tblGrid>
        <w:gridCol w:w="750"/>
        <w:gridCol w:w="2962"/>
        <w:gridCol w:w="7902"/>
        <w:gridCol w:w="2378"/>
      </w:tblGrid>
      <w:tr w:rsidR="00675DCE" w:rsidRPr="00675DCE" w14:paraId="7F970595" w14:textId="77777777">
        <w:tc>
          <w:tcPr>
            <w:tcW w:w="750" w:type="dxa"/>
            <w:tcBorders>
              <w:top w:val="single" w:sz="4" w:space="0" w:color="auto"/>
              <w:left w:val="single" w:sz="4" w:space="0" w:color="auto"/>
              <w:bottom w:val="single" w:sz="4" w:space="0" w:color="auto"/>
              <w:right w:val="single" w:sz="4" w:space="0" w:color="auto"/>
            </w:tcBorders>
          </w:tcPr>
          <w:p w14:paraId="2FE513E3" w14:textId="77777777" w:rsidR="00675DCE" w:rsidRPr="00675DCE" w:rsidRDefault="00675DCE" w:rsidP="00675DCE">
            <w:pPr>
              <w:spacing w:line="254" w:lineRule="auto"/>
              <w:rPr>
                <w:rFonts w:ascii="Arial" w:hAnsi="Arial" w:cs="Arial"/>
                <w:sz w:val="24"/>
                <w:szCs w:val="24"/>
              </w:rPr>
            </w:pPr>
          </w:p>
        </w:tc>
        <w:tc>
          <w:tcPr>
            <w:tcW w:w="2962" w:type="dxa"/>
            <w:tcBorders>
              <w:top w:val="single" w:sz="4" w:space="0" w:color="auto"/>
              <w:left w:val="single" w:sz="4" w:space="0" w:color="auto"/>
              <w:bottom w:val="single" w:sz="4" w:space="0" w:color="auto"/>
              <w:right w:val="single" w:sz="4" w:space="0" w:color="auto"/>
            </w:tcBorders>
            <w:hideMark/>
          </w:tcPr>
          <w:p w14:paraId="0238B6B2" w14:textId="77777777" w:rsidR="00675DCE" w:rsidRPr="00675DCE" w:rsidRDefault="00675DCE" w:rsidP="00675DCE">
            <w:pPr>
              <w:spacing w:line="254" w:lineRule="auto"/>
              <w:jc w:val="center"/>
              <w:rPr>
                <w:rFonts w:ascii="Arial" w:hAnsi="Arial" w:cs="Arial"/>
                <w:b/>
                <w:bCs/>
                <w:sz w:val="24"/>
                <w:szCs w:val="24"/>
              </w:rPr>
            </w:pPr>
            <w:r w:rsidRPr="00675DCE">
              <w:rPr>
                <w:rFonts w:ascii="Arial" w:hAnsi="Arial" w:cs="Arial"/>
                <w:b/>
                <w:bCs/>
                <w:sz w:val="24"/>
                <w:szCs w:val="24"/>
              </w:rPr>
              <w:t>E-TÉR-ben véleményező szervezet</w:t>
            </w:r>
          </w:p>
        </w:tc>
        <w:tc>
          <w:tcPr>
            <w:tcW w:w="7902" w:type="dxa"/>
            <w:tcBorders>
              <w:top w:val="single" w:sz="4" w:space="0" w:color="auto"/>
              <w:left w:val="single" w:sz="4" w:space="0" w:color="auto"/>
              <w:bottom w:val="single" w:sz="4" w:space="0" w:color="auto"/>
              <w:right w:val="single" w:sz="4" w:space="0" w:color="auto"/>
            </w:tcBorders>
            <w:hideMark/>
          </w:tcPr>
          <w:p w14:paraId="54C58C3A" w14:textId="77777777" w:rsidR="00675DCE" w:rsidRPr="00675DCE" w:rsidRDefault="00675DCE" w:rsidP="00675DCE">
            <w:pPr>
              <w:spacing w:line="254" w:lineRule="auto"/>
              <w:jc w:val="center"/>
              <w:rPr>
                <w:rFonts w:ascii="Arial" w:hAnsi="Arial" w:cs="Arial"/>
                <w:b/>
                <w:bCs/>
                <w:sz w:val="24"/>
                <w:szCs w:val="24"/>
              </w:rPr>
            </w:pPr>
            <w:r w:rsidRPr="00675DCE">
              <w:rPr>
                <w:rFonts w:ascii="Arial" w:hAnsi="Arial" w:cs="Arial"/>
                <w:b/>
                <w:bCs/>
                <w:sz w:val="24"/>
                <w:szCs w:val="24"/>
              </w:rPr>
              <w:t>E-TÉR-ben beérkezett vélemények</w:t>
            </w:r>
          </w:p>
        </w:tc>
        <w:tc>
          <w:tcPr>
            <w:tcW w:w="2378" w:type="dxa"/>
            <w:tcBorders>
              <w:top w:val="single" w:sz="4" w:space="0" w:color="auto"/>
              <w:left w:val="single" w:sz="4" w:space="0" w:color="auto"/>
              <w:bottom w:val="single" w:sz="4" w:space="0" w:color="auto"/>
              <w:right w:val="single" w:sz="4" w:space="0" w:color="auto"/>
            </w:tcBorders>
            <w:hideMark/>
          </w:tcPr>
          <w:p w14:paraId="39A16471" w14:textId="77777777" w:rsidR="00675DCE" w:rsidRPr="00675DCE" w:rsidRDefault="00675DCE" w:rsidP="00675DCE">
            <w:pPr>
              <w:spacing w:line="254" w:lineRule="auto"/>
              <w:jc w:val="center"/>
              <w:rPr>
                <w:rFonts w:ascii="Arial" w:hAnsi="Arial" w:cs="Arial"/>
                <w:b/>
                <w:bCs/>
                <w:sz w:val="24"/>
                <w:szCs w:val="24"/>
              </w:rPr>
            </w:pPr>
            <w:r w:rsidRPr="00675DCE">
              <w:rPr>
                <w:rFonts w:ascii="Arial" w:hAnsi="Arial" w:cs="Arial"/>
                <w:b/>
                <w:bCs/>
                <w:sz w:val="24"/>
                <w:szCs w:val="24"/>
              </w:rPr>
              <w:t>Válasz</w:t>
            </w:r>
          </w:p>
        </w:tc>
      </w:tr>
      <w:tr w:rsidR="00675DCE" w:rsidRPr="00675DCE" w14:paraId="0B822C63" w14:textId="77777777">
        <w:tc>
          <w:tcPr>
            <w:tcW w:w="750" w:type="dxa"/>
            <w:vMerge w:val="restart"/>
            <w:tcBorders>
              <w:top w:val="single" w:sz="4" w:space="0" w:color="auto"/>
              <w:left w:val="single" w:sz="4" w:space="0" w:color="auto"/>
              <w:bottom w:val="single" w:sz="4" w:space="0" w:color="auto"/>
              <w:right w:val="single" w:sz="4" w:space="0" w:color="auto"/>
            </w:tcBorders>
            <w:hideMark/>
          </w:tcPr>
          <w:p w14:paraId="5FBE30B8"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1</w:t>
            </w:r>
          </w:p>
        </w:tc>
        <w:tc>
          <w:tcPr>
            <w:tcW w:w="2962" w:type="dxa"/>
            <w:vMerge w:val="restart"/>
            <w:tcBorders>
              <w:top w:val="single" w:sz="4" w:space="0" w:color="auto"/>
              <w:left w:val="single" w:sz="4" w:space="0" w:color="auto"/>
              <w:bottom w:val="single" w:sz="4" w:space="0" w:color="auto"/>
              <w:right w:val="single" w:sz="4" w:space="0" w:color="auto"/>
            </w:tcBorders>
            <w:hideMark/>
          </w:tcPr>
          <w:p w14:paraId="1E5FEBF8"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Közép-dunántúli Vízügyi Igazgatóság</w:t>
            </w:r>
          </w:p>
        </w:tc>
        <w:tc>
          <w:tcPr>
            <w:tcW w:w="7902" w:type="dxa"/>
            <w:tcBorders>
              <w:top w:val="single" w:sz="4" w:space="0" w:color="auto"/>
              <w:left w:val="single" w:sz="4" w:space="0" w:color="auto"/>
              <w:bottom w:val="single" w:sz="4" w:space="0" w:color="auto"/>
              <w:right w:val="single" w:sz="4" w:space="0" w:color="auto"/>
            </w:tcBorders>
            <w:hideMark/>
          </w:tcPr>
          <w:p w14:paraId="60EC5CDD"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 0970 hrsz.-ú halastó és környezetét érintő tervezett fejlesztési elképzelések és ahhoz kapcsolódó csereterületek megvalósíthatóságának biztosítása révén 12 helyen változik a területfelhasználás. Nyilvántartásunk alapján a módosítással érintett területek nem részei belvízvédelmi </w:t>
            </w:r>
            <w:proofErr w:type="spellStart"/>
            <w:r w:rsidRPr="00675DCE">
              <w:rPr>
                <w:rFonts w:ascii="Arial" w:hAnsi="Arial" w:cs="Arial"/>
                <w:sz w:val="24"/>
                <w:szCs w:val="24"/>
              </w:rPr>
              <w:t>öblözetnek</w:t>
            </w:r>
            <w:proofErr w:type="spellEnd"/>
            <w:r w:rsidRPr="00675DCE">
              <w:rPr>
                <w:rFonts w:ascii="Arial" w:hAnsi="Arial" w:cs="Arial"/>
                <w:sz w:val="24"/>
                <w:szCs w:val="24"/>
              </w:rPr>
              <w:t>, illetve rendszeresen vízjárta terület övezetével sem érintettek.</w:t>
            </w:r>
          </w:p>
        </w:tc>
        <w:tc>
          <w:tcPr>
            <w:tcW w:w="2378" w:type="dxa"/>
            <w:tcBorders>
              <w:top w:val="single" w:sz="4" w:space="0" w:color="auto"/>
              <w:left w:val="single" w:sz="4" w:space="0" w:color="auto"/>
              <w:bottom w:val="single" w:sz="4" w:space="0" w:color="auto"/>
              <w:right w:val="single" w:sz="4" w:space="0" w:color="auto"/>
            </w:tcBorders>
            <w:hideMark/>
          </w:tcPr>
          <w:p w14:paraId="66B366F8"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3E6660B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BED81D9" w14:textId="77777777" w:rsidR="00675DCE" w:rsidRPr="00675DCE" w:rsidRDefault="00675DCE" w:rsidP="00675DCE">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B17EF" w14:textId="77777777" w:rsidR="00675DCE" w:rsidRPr="00675DCE" w:rsidRDefault="00675DCE" w:rsidP="00675DCE">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35F1E4D8"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módosítással érintett 0970 hrsz.-ú halastó és környezetében, új beépítésre szánt terület kijelölés nem történik, azonban az elképzelések megvalósítása közműfejlesztéssel jár. A fejleszteni kívánt terület vízellátása – a dokumentáció alapján – fúrt kútról biztosított, nyilvántartásunkban azonban ez a kút nem szerepel. Engedély nélküli? A vízjogi engedélyét rendezni szükséges.</w:t>
            </w:r>
          </w:p>
        </w:tc>
        <w:tc>
          <w:tcPr>
            <w:tcW w:w="2378" w:type="dxa"/>
            <w:tcBorders>
              <w:top w:val="single" w:sz="4" w:space="0" w:color="auto"/>
              <w:left w:val="single" w:sz="4" w:space="0" w:color="auto"/>
              <w:bottom w:val="single" w:sz="4" w:space="0" w:color="auto"/>
              <w:right w:val="single" w:sz="4" w:space="0" w:color="auto"/>
            </w:tcBorders>
            <w:hideMark/>
          </w:tcPr>
          <w:p w14:paraId="1BE51514"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3A630E8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898BB52" w14:textId="77777777" w:rsidR="00675DCE" w:rsidRPr="00675DCE" w:rsidRDefault="00675DCE" w:rsidP="00675DCE">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572224" w14:textId="77777777" w:rsidR="00675DCE" w:rsidRPr="00675DCE" w:rsidRDefault="00675DCE" w:rsidP="00675DCE">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27C5818B"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 módosítással érintett ingatlanok </w:t>
            </w:r>
            <w:proofErr w:type="gramStart"/>
            <w:r w:rsidRPr="00675DCE">
              <w:rPr>
                <w:rFonts w:ascii="Arial" w:hAnsi="Arial" w:cs="Arial"/>
                <w:sz w:val="24"/>
                <w:szCs w:val="24"/>
              </w:rPr>
              <w:t>üzemelő,</w:t>
            </w:r>
            <w:proofErr w:type="gramEnd"/>
            <w:r w:rsidRPr="00675DCE">
              <w:rPr>
                <w:rFonts w:ascii="Arial" w:hAnsi="Arial" w:cs="Arial"/>
                <w:sz w:val="24"/>
                <w:szCs w:val="24"/>
              </w:rPr>
              <w:t xml:space="preserve"> vagy távlati ivóvízbázis előzetesen lehatárolt, ill. hatósági határozatban kijelölt hidrogeológiai védőidomát, védőövezet- és védőterület-rendszerét nem érintik.</w:t>
            </w:r>
          </w:p>
        </w:tc>
        <w:tc>
          <w:tcPr>
            <w:tcW w:w="2378" w:type="dxa"/>
            <w:tcBorders>
              <w:top w:val="single" w:sz="4" w:space="0" w:color="auto"/>
              <w:left w:val="single" w:sz="4" w:space="0" w:color="auto"/>
              <w:bottom w:val="single" w:sz="4" w:space="0" w:color="auto"/>
              <w:right w:val="single" w:sz="4" w:space="0" w:color="auto"/>
            </w:tcBorders>
            <w:hideMark/>
          </w:tcPr>
          <w:p w14:paraId="5F076964"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34BB7DA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3010EE" w14:textId="77777777" w:rsidR="00675DCE" w:rsidRPr="00675DCE" w:rsidRDefault="00675DCE" w:rsidP="00675DCE">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06386E" w14:textId="77777777" w:rsidR="00675DCE" w:rsidRPr="00675DCE" w:rsidRDefault="00675DCE" w:rsidP="00675DCE">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29AF8FC1"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rendelkezésre álló dokumentáció alapján a településrendezési eszközök módosítása – a fentiek figyelembevételével – vízügyi szempontból nem kifogásolt.</w:t>
            </w:r>
          </w:p>
        </w:tc>
        <w:tc>
          <w:tcPr>
            <w:tcW w:w="2378" w:type="dxa"/>
            <w:tcBorders>
              <w:top w:val="single" w:sz="4" w:space="0" w:color="auto"/>
              <w:left w:val="single" w:sz="4" w:space="0" w:color="auto"/>
              <w:bottom w:val="single" w:sz="4" w:space="0" w:color="auto"/>
              <w:right w:val="single" w:sz="4" w:space="0" w:color="auto"/>
            </w:tcBorders>
            <w:hideMark/>
          </w:tcPr>
          <w:p w14:paraId="4F2AB701"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23EDD40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7D1274C" w14:textId="77777777" w:rsidR="00675DCE" w:rsidRPr="00675DCE" w:rsidRDefault="00675DCE" w:rsidP="00675DCE">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D5318" w14:textId="77777777" w:rsidR="00675DCE" w:rsidRPr="00675DCE" w:rsidRDefault="00675DCE" w:rsidP="00675DCE">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3EC99A4F"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szennyvízelvezetés közüzemi hálózatról biztosítható – kiépítése szükséges. A tervezett fejlesztéseknek a módosítással érintett területen történő elhelyezésének elvi akadálya nincs, a meglévő szennyvízelvezető rendszer szabad kapacitással rendelkezik (Jelenlegi kihasználtság: 68 %). Felhívom azonban a figyelmet, hogy a tervezés során a tényleges többlet szennyvíz fogadását az üzemeltető FEJÉRVÍZ Zrt.-vel egyeztetni szükséges.</w:t>
            </w:r>
          </w:p>
        </w:tc>
        <w:tc>
          <w:tcPr>
            <w:tcW w:w="2378" w:type="dxa"/>
            <w:tcBorders>
              <w:top w:val="single" w:sz="4" w:space="0" w:color="auto"/>
              <w:left w:val="single" w:sz="4" w:space="0" w:color="auto"/>
              <w:bottom w:val="single" w:sz="4" w:space="0" w:color="auto"/>
              <w:right w:val="single" w:sz="4" w:space="0" w:color="auto"/>
            </w:tcBorders>
            <w:hideMark/>
          </w:tcPr>
          <w:p w14:paraId="57319354"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4240124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5ED156B" w14:textId="77777777" w:rsidR="00675DCE" w:rsidRPr="00675DCE" w:rsidRDefault="00675DCE" w:rsidP="00675DCE">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B9F23" w14:textId="77777777" w:rsidR="00675DCE" w:rsidRPr="00675DCE" w:rsidRDefault="00675DCE" w:rsidP="00675DCE">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0CF4BF89"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tervezett módosítások nem érintenek Igazgatóságunk vagyonkezelésében lévő területet, felszíni vízfolyást.</w:t>
            </w:r>
          </w:p>
        </w:tc>
        <w:tc>
          <w:tcPr>
            <w:tcW w:w="2378" w:type="dxa"/>
            <w:tcBorders>
              <w:top w:val="single" w:sz="4" w:space="0" w:color="auto"/>
              <w:left w:val="single" w:sz="4" w:space="0" w:color="auto"/>
              <w:bottom w:val="single" w:sz="4" w:space="0" w:color="auto"/>
              <w:right w:val="single" w:sz="4" w:space="0" w:color="auto"/>
            </w:tcBorders>
            <w:hideMark/>
          </w:tcPr>
          <w:p w14:paraId="246498A1"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32C519C8" w14:textId="77777777">
        <w:trPr>
          <w:trHeight w:val="815"/>
        </w:trPr>
        <w:tc>
          <w:tcPr>
            <w:tcW w:w="750" w:type="dxa"/>
            <w:tcBorders>
              <w:top w:val="single" w:sz="4" w:space="0" w:color="auto"/>
              <w:left w:val="single" w:sz="4" w:space="0" w:color="auto"/>
              <w:bottom w:val="single" w:sz="4" w:space="0" w:color="auto"/>
              <w:right w:val="single" w:sz="4" w:space="0" w:color="auto"/>
            </w:tcBorders>
            <w:hideMark/>
          </w:tcPr>
          <w:p w14:paraId="2F09498A"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lastRenderedPageBreak/>
              <w:t>2</w:t>
            </w:r>
          </w:p>
        </w:tc>
        <w:tc>
          <w:tcPr>
            <w:tcW w:w="2962" w:type="dxa"/>
            <w:tcBorders>
              <w:top w:val="single" w:sz="4" w:space="0" w:color="auto"/>
              <w:left w:val="single" w:sz="4" w:space="0" w:color="auto"/>
              <w:bottom w:val="single" w:sz="4" w:space="0" w:color="auto"/>
              <w:right w:val="single" w:sz="4" w:space="0" w:color="auto"/>
            </w:tcBorders>
            <w:hideMark/>
          </w:tcPr>
          <w:p w14:paraId="12570BA0"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Fejér Vármegyei Kormányhivatal Építésügyi és Örökségvédelmi Főosztály Örökségvédelmi Osztály</w:t>
            </w:r>
          </w:p>
        </w:tc>
        <w:tc>
          <w:tcPr>
            <w:tcW w:w="7902" w:type="dxa"/>
            <w:tcBorders>
              <w:top w:val="single" w:sz="4" w:space="0" w:color="auto"/>
              <w:left w:val="single" w:sz="4" w:space="0" w:color="auto"/>
              <w:bottom w:val="single" w:sz="4" w:space="0" w:color="auto"/>
              <w:right w:val="single" w:sz="4" w:space="0" w:color="auto"/>
            </w:tcBorders>
          </w:tcPr>
          <w:p w14:paraId="3065C075" w14:textId="77777777" w:rsidR="00675DCE" w:rsidRPr="00675DCE" w:rsidRDefault="00675DCE" w:rsidP="00675DCE">
            <w:pPr>
              <w:spacing w:line="254" w:lineRule="auto"/>
              <w:jc w:val="both"/>
              <w:rPr>
                <w:rFonts w:ascii="Arial" w:hAnsi="Arial" w:cs="Arial"/>
                <w:sz w:val="24"/>
                <w:szCs w:val="24"/>
              </w:rPr>
            </w:pPr>
          </w:p>
          <w:p w14:paraId="4A951F58"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Mór Város Önkormányzata településrendezési eszközök módosítása általános egyeztetési eljárással v9 elnevezésű – Mór 0970 hrsz. területrendezési terv véleményezése során a településtervek tartalmáról, elkészítésének és elfogadásának rendjéről, valamint egyes településrendezési sajátos jogintézményekről szóló 419/2021. (VII. 15.) Korm. rendelet 11. melléklet 17. sorában megjelölt egyeztetési szempontok alapján örökségvédelmi észrevételt nem teszek.</w:t>
            </w:r>
          </w:p>
          <w:p w14:paraId="55E060D0"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módosítással érintett terület a központi örökségvédelmi nyilvántartás alapján régészeti lelőhelyet nem érint. Amennyiben a területen földmunkával járó kivitelezésre kerül sor, javasoljuk, hogy a módosítással érintett területeken végzendő humuszréteg eltávolításával járó fejlesztések esetében a régészeti értékek megőrzése végett egyeztessenek az örökségvédelmi Hatósággal. A beruházás során a régészeti értékek megóvását szem előtt kell tartani, így szükséges a régészeti szakfeladatellátást biztosítani. A tervezett változtatások műemlékvédelmi érdeket nem érintenek.</w:t>
            </w:r>
          </w:p>
        </w:tc>
        <w:tc>
          <w:tcPr>
            <w:tcW w:w="2378" w:type="dxa"/>
            <w:tcBorders>
              <w:top w:val="single" w:sz="4" w:space="0" w:color="auto"/>
              <w:left w:val="single" w:sz="4" w:space="0" w:color="auto"/>
              <w:bottom w:val="single" w:sz="4" w:space="0" w:color="auto"/>
              <w:right w:val="single" w:sz="4" w:space="0" w:color="auto"/>
            </w:tcBorders>
          </w:tcPr>
          <w:p w14:paraId="1BEEF058" w14:textId="77777777" w:rsidR="00675DCE" w:rsidRPr="00675DCE" w:rsidRDefault="00675DCE" w:rsidP="00675DCE">
            <w:pPr>
              <w:spacing w:line="254" w:lineRule="auto"/>
              <w:rPr>
                <w:rFonts w:ascii="Arial" w:hAnsi="Arial" w:cs="Arial"/>
                <w:sz w:val="24"/>
                <w:szCs w:val="24"/>
              </w:rPr>
            </w:pPr>
          </w:p>
          <w:p w14:paraId="38871F36"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32A5A640" w14:textId="77777777">
        <w:trPr>
          <w:trHeight w:val="2005"/>
        </w:trPr>
        <w:tc>
          <w:tcPr>
            <w:tcW w:w="750" w:type="dxa"/>
            <w:tcBorders>
              <w:top w:val="single" w:sz="4" w:space="0" w:color="auto"/>
              <w:left w:val="single" w:sz="4" w:space="0" w:color="auto"/>
              <w:bottom w:val="single" w:sz="4" w:space="0" w:color="auto"/>
              <w:right w:val="single" w:sz="4" w:space="0" w:color="auto"/>
            </w:tcBorders>
            <w:hideMark/>
          </w:tcPr>
          <w:p w14:paraId="4E7AEC37"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3</w:t>
            </w:r>
          </w:p>
        </w:tc>
        <w:tc>
          <w:tcPr>
            <w:tcW w:w="2962" w:type="dxa"/>
            <w:tcBorders>
              <w:top w:val="single" w:sz="4" w:space="0" w:color="auto"/>
              <w:left w:val="single" w:sz="4" w:space="0" w:color="auto"/>
              <w:bottom w:val="single" w:sz="4" w:space="0" w:color="auto"/>
              <w:right w:val="single" w:sz="4" w:space="0" w:color="auto"/>
            </w:tcBorders>
            <w:hideMark/>
          </w:tcPr>
          <w:p w14:paraId="5CC4DCA9"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Fejér Vármegyei Kormányhivatal Környezetvédelmi, Természetvédelmi és Hulladékgazdálkodási Főosztály Engedélyezési és Szakhatósági Osztály</w:t>
            </w:r>
          </w:p>
        </w:tc>
        <w:tc>
          <w:tcPr>
            <w:tcW w:w="7902" w:type="dxa"/>
            <w:tcBorders>
              <w:top w:val="single" w:sz="4" w:space="0" w:color="auto"/>
              <w:left w:val="single" w:sz="4" w:space="0" w:color="auto"/>
              <w:bottom w:val="single" w:sz="4" w:space="0" w:color="auto"/>
              <w:right w:val="single" w:sz="4" w:space="0" w:color="auto"/>
            </w:tcBorders>
          </w:tcPr>
          <w:p w14:paraId="075221B4" w14:textId="77777777" w:rsidR="00675DCE" w:rsidRPr="00675DCE" w:rsidRDefault="00675DCE" w:rsidP="00675DCE">
            <w:pPr>
              <w:spacing w:line="254" w:lineRule="auto"/>
              <w:jc w:val="both"/>
              <w:rPr>
                <w:rFonts w:ascii="Arial" w:hAnsi="Arial" w:cs="Arial"/>
                <w:sz w:val="24"/>
                <w:szCs w:val="24"/>
              </w:rPr>
            </w:pPr>
          </w:p>
          <w:p w14:paraId="74E3B5D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 módosítás alapvetően a Mór 0970 hrsz.-ú, az országos ökológiai hálózat, azon belül az ökológiai folyosó részét képező halastó és környezetének területét érinti, amellyel kapcsolatban többszöri egyeztetés történt a Duna-Ipoly Nemzeti Park Igazgatósággal és a Környezetvédelmi Hatósággal is. </w:t>
            </w:r>
          </w:p>
          <w:p w14:paraId="5EC466A0"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 módosítás célja a halastó környezetében horgászturizmus elősegítése. Ennek érdekében a halastó nyugati partján szállásférőhelyek (vendégház, apartman) telepítése tervezett, amelynek megvalósítása különleges beépítésre nem szánt idegenforgalmi fogadóhely övezet kijelölésével válna lehetővé. Az övezetben építési helyek is rögzítésre kerülnek, amely szabályozással építésre csak az ökológiai folyosó területén kívül lenne lehetőség. Az ökológiai folyosóhoz tartozó szárazulati területrészek telken belüli zöldfelületként megtartandó, be </w:t>
            </w:r>
            <w:r w:rsidRPr="00675DCE">
              <w:rPr>
                <w:rFonts w:ascii="Arial" w:hAnsi="Arial" w:cs="Arial"/>
                <w:sz w:val="24"/>
                <w:szCs w:val="24"/>
              </w:rPr>
              <w:lastRenderedPageBreak/>
              <w:t xml:space="preserve">nem építhető telekrészként kerülnek szabályozásra. A szállásférőhelyekhez kapcsolódva a halastó kisebb mértékű bővítése is tervezett, amelyhez a jelenlegi korlátozott használatú mezőgazdasági területen vízgazdálkodási terület övezet kijelölése szükséges. A Helyi Építési Szabályzat előírásai közé az érintett övezet vonatkozásában további szabályozásként épül be, hogy az övezetben a minimálisan kialakítandó zöldfelület legalább harmadát 3 szintes növényállománnyal, honos, a táji- és termőhelyi adottságoknak megfelelő növényfajok alkalmazásával kell kialakítani. </w:t>
            </w:r>
          </w:p>
          <w:p w14:paraId="2FA200D6"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Az új különleges beépítésre nem szánt övezet kijelöléséhez kapcsolódva csereterületként erdőterület és mezőgazdasági terület kerül kijelölésre a halastóhoz közeli homokbánya mellett, a jelenlegi természetbeni állapottal összhangban. </w:t>
            </w:r>
          </w:p>
          <w:p w14:paraId="7506DD1E"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természetvédelmi kezelő Duna-Ipoly Nemzeti Park Igazgatóság által a Környezetvédelmi Hatóság részére is megosztott nyilvántartás szerint a módosítással érintett területeken védett növényfaj előfordulására vonatkozóan jelenleg nincs nyilvántartási adat.</w:t>
            </w:r>
          </w:p>
          <w:p w14:paraId="235DBDC3"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módosítás tárgyára, annak fentiekben jelzett részleteire és nagyságrendjére is figyelemmel a településrendezési eszközök módosítása ellen környezetvédelmi, táj- és természetvédelmi, illetve hulladékgazdálkodási szempontból kifogás vagy egyéb észrevétel nem merült fel, a tervezett módosítást a Környezetvédelmi Hatóság elfogadásra javasolja.</w:t>
            </w:r>
          </w:p>
        </w:tc>
        <w:tc>
          <w:tcPr>
            <w:tcW w:w="2378" w:type="dxa"/>
            <w:tcBorders>
              <w:top w:val="single" w:sz="4" w:space="0" w:color="auto"/>
              <w:left w:val="single" w:sz="4" w:space="0" w:color="auto"/>
              <w:bottom w:val="single" w:sz="4" w:space="0" w:color="auto"/>
              <w:right w:val="single" w:sz="4" w:space="0" w:color="auto"/>
            </w:tcBorders>
            <w:hideMark/>
          </w:tcPr>
          <w:p w14:paraId="5E45B10A"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lastRenderedPageBreak/>
              <w:t>Észrevételt köszönjük, a kért javaslatot figyelembe vesszük.</w:t>
            </w:r>
          </w:p>
        </w:tc>
      </w:tr>
      <w:tr w:rsidR="00675DCE" w:rsidRPr="00675DCE" w14:paraId="6D03264D" w14:textId="77777777">
        <w:tc>
          <w:tcPr>
            <w:tcW w:w="750" w:type="dxa"/>
            <w:tcBorders>
              <w:top w:val="single" w:sz="4" w:space="0" w:color="auto"/>
              <w:left w:val="single" w:sz="4" w:space="0" w:color="auto"/>
              <w:bottom w:val="single" w:sz="4" w:space="0" w:color="auto"/>
              <w:right w:val="single" w:sz="4" w:space="0" w:color="auto"/>
            </w:tcBorders>
            <w:hideMark/>
          </w:tcPr>
          <w:p w14:paraId="17E7A205"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4</w:t>
            </w:r>
          </w:p>
        </w:tc>
        <w:tc>
          <w:tcPr>
            <w:tcW w:w="2962" w:type="dxa"/>
            <w:tcBorders>
              <w:top w:val="single" w:sz="4" w:space="0" w:color="auto"/>
              <w:left w:val="single" w:sz="4" w:space="0" w:color="auto"/>
              <w:bottom w:val="single" w:sz="4" w:space="0" w:color="auto"/>
              <w:right w:val="single" w:sz="4" w:space="0" w:color="auto"/>
            </w:tcBorders>
            <w:hideMark/>
          </w:tcPr>
          <w:p w14:paraId="2C3F5935"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Fejér Vármegyei Kormányhivatal Közlekedési, Műszaki Engedélyezési, Mérésügyi és Fogyasztóvédelmi Főosztály Útügyi Osztály</w:t>
            </w:r>
          </w:p>
        </w:tc>
        <w:tc>
          <w:tcPr>
            <w:tcW w:w="7902" w:type="dxa"/>
            <w:tcBorders>
              <w:top w:val="single" w:sz="4" w:space="0" w:color="auto"/>
              <w:left w:val="single" w:sz="4" w:space="0" w:color="auto"/>
              <w:bottom w:val="single" w:sz="4" w:space="0" w:color="auto"/>
              <w:right w:val="single" w:sz="4" w:space="0" w:color="auto"/>
            </w:tcBorders>
            <w:hideMark/>
          </w:tcPr>
          <w:p w14:paraId="154E135C"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 dokumentációt áttanulmányoztam, és megállapítottam, hogy a tervben foglaltak a hatáskörömbe tartozó útügyi érdeket nem sértenek, így azokat nem kifogásolom. </w:t>
            </w:r>
          </w:p>
        </w:tc>
        <w:tc>
          <w:tcPr>
            <w:tcW w:w="2378" w:type="dxa"/>
            <w:tcBorders>
              <w:top w:val="single" w:sz="4" w:space="0" w:color="auto"/>
              <w:left w:val="single" w:sz="4" w:space="0" w:color="auto"/>
              <w:bottom w:val="single" w:sz="4" w:space="0" w:color="auto"/>
              <w:right w:val="single" w:sz="4" w:space="0" w:color="auto"/>
            </w:tcBorders>
            <w:hideMark/>
          </w:tcPr>
          <w:p w14:paraId="6F496060"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4AC48A05" w14:textId="77777777">
        <w:tc>
          <w:tcPr>
            <w:tcW w:w="750" w:type="dxa"/>
            <w:tcBorders>
              <w:top w:val="single" w:sz="4" w:space="0" w:color="auto"/>
              <w:left w:val="single" w:sz="4" w:space="0" w:color="auto"/>
              <w:bottom w:val="single" w:sz="4" w:space="0" w:color="auto"/>
              <w:right w:val="single" w:sz="4" w:space="0" w:color="auto"/>
            </w:tcBorders>
            <w:hideMark/>
          </w:tcPr>
          <w:p w14:paraId="2CE159AD"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lastRenderedPageBreak/>
              <w:t>5</w:t>
            </w:r>
          </w:p>
        </w:tc>
        <w:tc>
          <w:tcPr>
            <w:tcW w:w="2962" w:type="dxa"/>
            <w:tcBorders>
              <w:top w:val="single" w:sz="4" w:space="0" w:color="auto"/>
              <w:left w:val="single" w:sz="4" w:space="0" w:color="auto"/>
              <w:bottom w:val="single" w:sz="4" w:space="0" w:color="auto"/>
              <w:right w:val="single" w:sz="4" w:space="0" w:color="auto"/>
            </w:tcBorders>
            <w:hideMark/>
          </w:tcPr>
          <w:p w14:paraId="5C3A0582"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Honvédelmi Minisztérium Hatósági Főosztály</w:t>
            </w:r>
          </w:p>
        </w:tc>
        <w:tc>
          <w:tcPr>
            <w:tcW w:w="7902" w:type="dxa"/>
            <w:tcBorders>
              <w:top w:val="single" w:sz="4" w:space="0" w:color="auto"/>
              <w:left w:val="single" w:sz="4" w:space="0" w:color="auto"/>
              <w:bottom w:val="single" w:sz="4" w:space="0" w:color="auto"/>
              <w:right w:val="single" w:sz="4" w:space="0" w:color="auto"/>
            </w:tcBorders>
            <w:hideMark/>
          </w:tcPr>
          <w:p w14:paraId="38F226E4"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A fenti hivatkozási számon érkezett dokumentációban foglaltak a honvédelem érdekeit nem érintik, a Magyar Honvédség nemzeti és szövetségi védelmi feladatai végrehajtása biztosított, ezért az abban foglaltakkal kapcsolatban külön észrevételt nem teszek.</w:t>
            </w:r>
          </w:p>
        </w:tc>
        <w:tc>
          <w:tcPr>
            <w:tcW w:w="2378" w:type="dxa"/>
            <w:tcBorders>
              <w:top w:val="single" w:sz="4" w:space="0" w:color="auto"/>
              <w:left w:val="single" w:sz="4" w:space="0" w:color="auto"/>
              <w:bottom w:val="single" w:sz="4" w:space="0" w:color="auto"/>
              <w:right w:val="single" w:sz="4" w:space="0" w:color="auto"/>
            </w:tcBorders>
            <w:hideMark/>
          </w:tcPr>
          <w:p w14:paraId="3CCACA6D"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6BF28D4C" w14:textId="77777777">
        <w:tc>
          <w:tcPr>
            <w:tcW w:w="750" w:type="dxa"/>
            <w:tcBorders>
              <w:top w:val="single" w:sz="4" w:space="0" w:color="auto"/>
              <w:left w:val="single" w:sz="4" w:space="0" w:color="auto"/>
              <w:bottom w:val="single" w:sz="4" w:space="0" w:color="auto"/>
              <w:right w:val="single" w:sz="4" w:space="0" w:color="auto"/>
            </w:tcBorders>
            <w:hideMark/>
          </w:tcPr>
          <w:p w14:paraId="70EFB429"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6</w:t>
            </w:r>
          </w:p>
        </w:tc>
        <w:tc>
          <w:tcPr>
            <w:tcW w:w="2962" w:type="dxa"/>
            <w:tcBorders>
              <w:top w:val="single" w:sz="4" w:space="0" w:color="auto"/>
              <w:left w:val="single" w:sz="4" w:space="0" w:color="auto"/>
              <w:bottom w:val="single" w:sz="4" w:space="0" w:color="auto"/>
              <w:right w:val="single" w:sz="4" w:space="0" w:color="auto"/>
            </w:tcBorders>
            <w:hideMark/>
          </w:tcPr>
          <w:p w14:paraId="36DF7AA3"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Országos Vízügyi Főigazgatóság</w:t>
            </w:r>
          </w:p>
        </w:tc>
        <w:tc>
          <w:tcPr>
            <w:tcW w:w="7902" w:type="dxa"/>
            <w:tcBorders>
              <w:top w:val="single" w:sz="4" w:space="0" w:color="auto"/>
              <w:left w:val="single" w:sz="4" w:space="0" w:color="auto"/>
              <w:bottom w:val="single" w:sz="4" w:space="0" w:color="auto"/>
              <w:right w:val="single" w:sz="4" w:space="0" w:color="auto"/>
            </w:tcBorders>
            <w:hideMark/>
          </w:tcPr>
          <w:p w14:paraId="36708EDD"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Tájékoztatom Önt, hogy a településtervek tartalmáról, elkészítésének és elfogadásának rendjéről, valamint egyes településrendezési sajátos jogintézményekről szóló 419/2021. (VII. 15.) Kormányrendelet kapcsán az Országos Vízügyi Főigazgatóság (a továbbiakban: OVF) véleményezésre minden esetben a 12 Vízügyi Igazgatóság (a továbbiakban: VIZIG) közül a működési területtel érintett VIZIG-</w:t>
            </w:r>
            <w:proofErr w:type="spellStart"/>
            <w:r w:rsidRPr="00675DCE">
              <w:rPr>
                <w:rFonts w:ascii="Arial" w:hAnsi="Arial" w:cs="Arial"/>
                <w:sz w:val="24"/>
                <w:szCs w:val="24"/>
              </w:rPr>
              <w:t>et</w:t>
            </w:r>
            <w:proofErr w:type="spellEnd"/>
            <w:r w:rsidRPr="00675DCE">
              <w:rPr>
                <w:rFonts w:ascii="Arial" w:hAnsi="Arial" w:cs="Arial"/>
                <w:sz w:val="24"/>
                <w:szCs w:val="24"/>
              </w:rPr>
              <w:t>/VIZIG-</w:t>
            </w:r>
            <w:proofErr w:type="spellStart"/>
            <w:r w:rsidRPr="00675DCE">
              <w:rPr>
                <w:rFonts w:ascii="Arial" w:hAnsi="Arial" w:cs="Arial"/>
                <w:sz w:val="24"/>
                <w:szCs w:val="24"/>
              </w:rPr>
              <w:t>eket</w:t>
            </w:r>
            <w:proofErr w:type="spellEnd"/>
            <w:r w:rsidRPr="00675DCE">
              <w:rPr>
                <w:rFonts w:ascii="Arial" w:hAnsi="Arial" w:cs="Arial"/>
                <w:sz w:val="24"/>
                <w:szCs w:val="24"/>
              </w:rPr>
              <w:t xml:space="preserve"> kéri fel, mivel megfelelő részletezettségű információval és helyismerettel csak a területileg illetékes VIZIG-ek rendelkeznek.</w:t>
            </w:r>
          </w:p>
          <w:p w14:paraId="17259159"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Kérem a VIZIG/VIZIG-ek által benyújtásra kerülő véleményt az OVF véleményének is tekintsék.</w:t>
            </w:r>
          </w:p>
        </w:tc>
        <w:tc>
          <w:tcPr>
            <w:tcW w:w="2378" w:type="dxa"/>
            <w:tcBorders>
              <w:top w:val="single" w:sz="4" w:space="0" w:color="auto"/>
              <w:left w:val="single" w:sz="4" w:space="0" w:color="auto"/>
              <w:bottom w:val="single" w:sz="4" w:space="0" w:color="auto"/>
              <w:right w:val="single" w:sz="4" w:space="0" w:color="auto"/>
            </w:tcBorders>
            <w:hideMark/>
          </w:tcPr>
          <w:p w14:paraId="1745CDBD"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25CF11EE" w14:textId="77777777">
        <w:tc>
          <w:tcPr>
            <w:tcW w:w="750" w:type="dxa"/>
            <w:tcBorders>
              <w:top w:val="single" w:sz="4" w:space="0" w:color="auto"/>
              <w:left w:val="single" w:sz="4" w:space="0" w:color="auto"/>
              <w:bottom w:val="single" w:sz="4" w:space="0" w:color="auto"/>
              <w:right w:val="single" w:sz="4" w:space="0" w:color="auto"/>
            </w:tcBorders>
            <w:hideMark/>
          </w:tcPr>
          <w:p w14:paraId="53237AF1"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7</w:t>
            </w:r>
          </w:p>
        </w:tc>
        <w:tc>
          <w:tcPr>
            <w:tcW w:w="2962" w:type="dxa"/>
            <w:tcBorders>
              <w:top w:val="single" w:sz="4" w:space="0" w:color="auto"/>
              <w:left w:val="single" w:sz="4" w:space="0" w:color="auto"/>
              <w:bottom w:val="single" w:sz="4" w:space="0" w:color="auto"/>
              <w:right w:val="single" w:sz="4" w:space="0" w:color="auto"/>
            </w:tcBorders>
            <w:hideMark/>
          </w:tcPr>
          <w:p w14:paraId="133063C5"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Budapest Főváros Kormányhivatala Országos Közúti és Hajózási Hatósági Főosztály</w:t>
            </w:r>
          </w:p>
        </w:tc>
        <w:tc>
          <w:tcPr>
            <w:tcW w:w="7902" w:type="dxa"/>
            <w:tcBorders>
              <w:top w:val="single" w:sz="4" w:space="0" w:color="auto"/>
              <w:left w:val="single" w:sz="4" w:space="0" w:color="auto"/>
              <w:bottom w:val="single" w:sz="4" w:space="0" w:color="auto"/>
              <w:right w:val="single" w:sz="4" w:space="0" w:color="auto"/>
            </w:tcBorders>
            <w:hideMark/>
          </w:tcPr>
          <w:p w14:paraId="4270257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 A településtervek tartalmáról, elkészítésének és elfogadásának rendjéről, valamint egyes településrendezési sajátos jogintézményekről szóló 419/2021. (VII. 15.) Korm. rendelet 11. melléklet 13. pontja szerint Budapest Főváros Kormányhivatala gyorsforgalmi utat, közúti határátkelőhelyet, </w:t>
            </w:r>
            <w:proofErr w:type="spellStart"/>
            <w:r w:rsidRPr="00675DCE">
              <w:rPr>
                <w:rFonts w:ascii="Arial" w:hAnsi="Arial" w:cs="Arial"/>
                <w:sz w:val="24"/>
                <w:szCs w:val="24"/>
              </w:rPr>
              <w:t>szintbeli</w:t>
            </w:r>
            <w:proofErr w:type="spellEnd"/>
            <w:r w:rsidRPr="00675DCE">
              <w:rPr>
                <w:rFonts w:ascii="Arial" w:hAnsi="Arial" w:cs="Arial"/>
                <w:sz w:val="24"/>
                <w:szCs w:val="24"/>
              </w:rPr>
              <w:t xml:space="preserve"> közúti-vasúti átjárót érintő településrendezési eszköz esetében vesz részt a véleményezési eljárásban. Fentiekre tekintettel a településrendezési eszközök módosításával kapcsolatban, hatáskör hiányában észrevételt nem teszek. Az eljárás további szakaszában nem kívánok részt venni.</w:t>
            </w:r>
          </w:p>
        </w:tc>
        <w:tc>
          <w:tcPr>
            <w:tcW w:w="2378" w:type="dxa"/>
            <w:tcBorders>
              <w:top w:val="single" w:sz="4" w:space="0" w:color="auto"/>
              <w:left w:val="single" w:sz="4" w:space="0" w:color="auto"/>
              <w:bottom w:val="single" w:sz="4" w:space="0" w:color="auto"/>
              <w:right w:val="single" w:sz="4" w:space="0" w:color="auto"/>
            </w:tcBorders>
            <w:hideMark/>
          </w:tcPr>
          <w:p w14:paraId="635A99E7" w14:textId="77777777" w:rsidR="00675DCE" w:rsidRPr="00675DCE" w:rsidRDefault="00675DCE" w:rsidP="00675DCE">
            <w:pPr>
              <w:spacing w:line="254" w:lineRule="auto"/>
              <w:rPr>
                <w:rFonts w:ascii="Arial" w:hAnsi="Arial" w:cs="Arial"/>
                <w:sz w:val="24"/>
                <w:szCs w:val="24"/>
              </w:rPr>
            </w:pPr>
            <w:r w:rsidRPr="00675DCE">
              <w:rPr>
                <w:rFonts w:ascii="Arial" w:hAnsi="Arial" w:cs="Arial"/>
                <w:sz w:val="24"/>
                <w:szCs w:val="24"/>
              </w:rPr>
              <w:t>Észrevételt köszönjük.</w:t>
            </w:r>
          </w:p>
        </w:tc>
      </w:tr>
      <w:tr w:rsidR="00675DCE" w:rsidRPr="00675DCE" w14:paraId="5CD54526" w14:textId="77777777">
        <w:tc>
          <w:tcPr>
            <w:tcW w:w="750" w:type="dxa"/>
            <w:tcBorders>
              <w:top w:val="single" w:sz="4" w:space="0" w:color="auto"/>
              <w:left w:val="single" w:sz="4" w:space="0" w:color="auto"/>
              <w:bottom w:val="single" w:sz="4" w:space="0" w:color="auto"/>
              <w:right w:val="single" w:sz="4" w:space="0" w:color="auto"/>
            </w:tcBorders>
            <w:hideMark/>
          </w:tcPr>
          <w:p w14:paraId="13EF973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8</w:t>
            </w:r>
          </w:p>
        </w:tc>
        <w:tc>
          <w:tcPr>
            <w:tcW w:w="2962" w:type="dxa"/>
            <w:tcBorders>
              <w:top w:val="single" w:sz="4" w:space="0" w:color="auto"/>
              <w:left w:val="single" w:sz="4" w:space="0" w:color="auto"/>
              <w:bottom w:val="single" w:sz="4" w:space="0" w:color="auto"/>
              <w:right w:val="single" w:sz="4" w:space="0" w:color="auto"/>
            </w:tcBorders>
            <w:hideMark/>
          </w:tcPr>
          <w:p w14:paraId="698955A6"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Fejér Vármegyei Rendőr-Főkapitányság Rendészeti Igazgatóság</w:t>
            </w:r>
          </w:p>
        </w:tc>
        <w:tc>
          <w:tcPr>
            <w:tcW w:w="7902" w:type="dxa"/>
            <w:tcBorders>
              <w:top w:val="single" w:sz="4" w:space="0" w:color="auto"/>
              <w:left w:val="single" w:sz="4" w:space="0" w:color="auto"/>
              <w:bottom w:val="single" w:sz="4" w:space="0" w:color="auto"/>
              <w:right w:val="single" w:sz="4" w:space="0" w:color="auto"/>
            </w:tcBorders>
            <w:hideMark/>
          </w:tcPr>
          <w:p w14:paraId="54A7A961"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A 314/2012. (XI. 8.) Kormányrendelet 9. mellékletének 21. pontjában meghatározottak alapján közöljük, hogy az államhatár rendje, a hattárrendsértések és határesemények megelőzéséhez szükséges feltételek biztosítása szempontjából Mór Város nem érintett, az országhatár melletti 100 méteres (illetve 10 kilométeres) sávot a tervezett koncepció nem érinti, oda ez alapján nem épül létesítmény. Az elkészült dokumentáció ilyen jellegű eszközöket, illetve szempontokat nem érint. A fentiek alapján Mór város településrendezési eszközeinek </w:t>
            </w:r>
            <w:r w:rsidRPr="00675DCE">
              <w:rPr>
                <w:rFonts w:ascii="Arial" w:hAnsi="Arial" w:cs="Arial"/>
                <w:sz w:val="24"/>
                <w:szCs w:val="24"/>
              </w:rPr>
              <w:lastRenderedPageBreak/>
              <w:t>módosításával, illetve településfejlesztési tervével összefüggésben kifogást nem emelünk, észrevételünk, javaslatunk nincs.</w:t>
            </w:r>
          </w:p>
        </w:tc>
        <w:tc>
          <w:tcPr>
            <w:tcW w:w="2378" w:type="dxa"/>
            <w:tcBorders>
              <w:top w:val="single" w:sz="4" w:space="0" w:color="auto"/>
              <w:left w:val="single" w:sz="4" w:space="0" w:color="auto"/>
              <w:bottom w:val="single" w:sz="4" w:space="0" w:color="auto"/>
              <w:right w:val="single" w:sz="4" w:space="0" w:color="auto"/>
            </w:tcBorders>
            <w:hideMark/>
          </w:tcPr>
          <w:p w14:paraId="3F19D38B"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lastRenderedPageBreak/>
              <w:t>Észrevételt köszönjük.</w:t>
            </w:r>
          </w:p>
        </w:tc>
      </w:tr>
      <w:tr w:rsidR="00675DCE" w:rsidRPr="00675DCE" w14:paraId="27F913B9" w14:textId="77777777">
        <w:trPr>
          <w:trHeight w:val="1161"/>
        </w:trPr>
        <w:tc>
          <w:tcPr>
            <w:tcW w:w="750" w:type="dxa"/>
            <w:vMerge w:val="restart"/>
            <w:tcBorders>
              <w:top w:val="single" w:sz="4" w:space="0" w:color="auto"/>
              <w:left w:val="single" w:sz="4" w:space="0" w:color="auto"/>
              <w:bottom w:val="single" w:sz="4" w:space="0" w:color="auto"/>
              <w:right w:val="single" w:sz="4" w:space="0" w:color="auto"/>
            </w:tcBorders>
            <w:hideMark/>
          </w:tcPr>
          <w:p w14:paraId="7CCAB1D8"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9</w:t>
            </w:r>
          </w:p>
        </w:tc>
        <w:tc>
          <w:tcPr>
            <w:tcW w:w="2962" w:type="dxa"/>
            <w:vMerge w:val="restart"/>
            <w:tcBorders>
              <w:top w:val="single" w:sz="4" w:space="0" w:color="auto"/>
              <w:left w:val="single" w:sz="4" w:space="0" w:color="auto"/>
              <w:bottom w:val="single" w:sz="4" w:space="0" w:color="auto"/>
              <w:right w:val="single" w:sz="4" w:space="0" w:color="auto"/>
            </w:tcBorders>
            <w:hideMark/>
          </w:tcPr>
          <w:p w14:paraId="0715B305"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Fejér Vármegyei Kormányhivatal Állami Főépítész</w:t>
            </w:r>
          </w:p>
        </w:tc>
        <w:tc>
          <w:tcPr>
            <w:tcW w:w="7902" w:type="dxa"/>
            <w:tcBorders>
              <w:top w:val="single" w:sz="4" w:space="0" w:color="auto"/>
              <w:left w:val="single" w:sz="4" w:space="0" w:color="auto"/>
              <w:bottom w:val="single" w:sz="4" w:space="0" w:color="auto"/>
              <w:right w:val="single" w:sz="4" w:space="0" w:color="auto"/>
            </w:tcBorders>
            <w:hideMark/>
          </w:tcPr>
          <w:p w14:paraId="66816A8E"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1. A Kr. 59. § (2) bekezdése szerint a településterv, kézikönyv készítését és módosítását, valamint a településképi rendelet módosítását az önkormányzat képviselő-testületének a) a készítés vagy módosítás tényét, b) új beépítésre szánt terület kijelölése esetén a </w:t>
            </w:r>
            <w:proofErr w:type="spellStart"/>
            <w:r w:rsidRPr="00675DCE">
              <w:rPr>
                <w:rFonts w:ascii="Arial" w:hAnsi="Arial" w:cs="Arial"/>
                <w:sz w:val="24"/>
                <w:szCs w:val="24"/>
              </w:rPr>
              <w:t>Méptv</w:t>
            </w:r>
            <w:proofErr w:type="spellEnd"/>
            <w:r w:rsidRPr="00675DCE">
              <w:rPr>
                <w:rFonts w:ascii="Arial" w:hAnsi="Arial" w:cs="Arial"/>
                <w:sz w:val="24"/>
                <w:szCs w:val="24"/>
              </w:rPr>
              <w:t>.-ben foglalt követelményeknek való megfelelést, c) amennyiben indokolt, a kiemelt fejlesztési területté nyilvánítást és d) a 7. § (7) bekezdése szerinti feljegyzés, a kézikönyv és a településképi rendelet esetében a szakmai összefoglaló elfogadását tartalmazó döntése alapozza meg. A tervdokumentáció tartalmazza Mór Város Önkormányzat Képviselő-testületének 295/2025. (X.29.) határozatát „Mór város településterv 8. számú módosítására vonatkozó eljárás megindítása tárgyában.”</w:t>
            </w:r>
          </w:p>
        </w:tc>
        <w:tc>
          <w:tcPr>
            <w:tcW w:w="2378" w:type="dxa"/>
            <w:tcBorders>
              <w:top w:val="single" w:sz="4" w:space="0" w:color="auto"/>
              <w:left w:val="single" w:sz="4" w:space="0" w:color="auto"/>
              <w:bottom w:val="single" w:sz="4" w:space="0" w:color="auto"/>
              <w:right w:val="single" w:sz="4" w:space="0" w:color="auto"/>
            </w:tcBorders>
            <w:hideMark/>
          </w:tcPr>
          <w:p w14:paraId="0DE1BC14"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Észrevételt köszönjük.</w:t>
            </w:r>
          </w:p>
        </w:tc>
      </w:tr>
      <w:tr w:rsidR="00675DCE" w:rsidRPr="00675DCE" w14:paraId="4CF080B5" w14:textId="77777777">
        <w:trPr>
          <w:trHeight w:val="1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66C7D" w14:textId="77777777" w:rsidR="00675DCE" w:rsidRPr="00675DCE" w:rsidRDefault="00675DCE" w:rsidP="00675DCE">
            <w:pPr>
              <w:spacing w:line="24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CA770" w14:textId="77777777" w:rsidR="00675DCE" w:rsidRPr="00675DCE" w:rsidRDefault="00675DCE" w:rsidP="00675DCE">
            <w:pPr>
              <w:spacing w:line="240" w:lineRule="auto"/>
              <w:rPr>
                <w:rFonts w:ascii="Arial" w:hAnsi="Arial" w:cs="Arial"/>
                <w:sz w:val="24"/>
                <w:szCs w:val="24"/>
              </w:rPr>
            </w:pPr>
          </w:p>
        </w:tc>
        <w:tc>
          <w:tcPr>
            <w:tcW w:w="7902" w:type="dxa"/>
            <w:tcBorders>
              <w:top w:val="single" w:sz="4" w:space="0" w:color="auto"/>
              <w:left w:val="single" w:sz="4" w:space="0" w:color="auto"/>
              <w:bottom w:val="single" w:sz="4" w:space="0" w:color="auto"/>
              <w:right w:val="single" w:sz="4" w:space="0" w:color="auto"/>
            </w:tcBorders>
            <w:hideMark/>
          </w:tcPr>
          <w:p w14:paraId="1F205E17"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2. A rendelet tervezet 1. §-a szerint Mór Városi Önkormányzat Képviselő-testületének Mór város helyi építési szabályzatáról szóló 10/2022. (IV. 1.) önkormányzati rendelete (a továbbiakban: Rendelet) 67. §-a helyébe a következő rendelkezés lép: „67.§ (1) Az idegenforgalmi fogadóhely (</w:t>
            </w:r>
            <w:proofErr w:type="spellStart"/>
            <w:r w:rsidRPr="00675DCE">
              <w:rPr>
                <w:rFonts w:ascii="Arial" w:hAnsi="Arial" w:cs="Arial"/>
                <w:sz w:val="24"/>
                <w:szCs w:val="24"/>
                <w:shd w:val="clear" w:color="auto" w:fill="FFFFFF"/>
              </w:rPr>
              <w:t>Kb-If</w:t>
            </w:r>
            <w:proofErr w:type="spellEnd"/>
            <w:r w:rsidRPr="00675DCE">
              <w:rPr>
                <w:rFonts w:ascii="Arial" w:hAnsi="Arial" w:cs="Arial"/>
                <w:sz w:val="24"/>
                <w:szCs w:val="24"/>
                <w:shd w:val="clear" w:color="auto" w:fill="FFFFFF"/>
              </w:rPr>
              <w:t>) területén a borturizmus és horgászturizmus céljait szolgáló – szőlőtermelés-, feldolgozás és tárolás, vendéglátás és szállás funkciókat magába foglaló – épületek, a turisztikai célhoz köthető egyéb – sport és szabadidős – építmények, valamint azok kiszolgáló létesítményei helyezhetők el. (2) A Kb-If-3 övezet területén építményt elhelyezni az építési helyen belül lehet. (3) A Kb-If-3 övezetben a minimálisan kialakítandó zöldfelület legalább harmadát 3 szintes növényállománnyal, honos, a táji- és termőhelyi adottságoknak megfelelő növényfajok alkalmazásával kell kialakítani.” A tervezetben szereplő 67.§ (1) bekezdése általános szabályozást tartalmaz minden különleges beépítésre nem szánt terület - idegenforgalmi fogadóhely (</w:t>
            </w:r>
            <w:proofErr w:type="spellStart"/>
            <w:r w:rsidRPr="00675DCE">
              <w:rPr>
                <w:rFonts w:ascii="Arial" w:hAnsi="Arial" w:cs="Arial"/>
                <w:sz w:val="24"/>
                <w:szCs w:val="24"/>
                <w:shd w:val="clear" w:color="auto" w:fill="FFFFFF"/>
              </w:rPr>
              <w:t>Kb-If</w:t>
            </w:r>
            <w:proofErr w:type="spellEnd"/>
            <w:r w:rsidRPr="00675DCE">
              <w:rPr>
                <w:rFonts w:ascii="Arial" w:hAnsi="Arial" w:cs="Arial"/>
                <w:sz w:val="24"/>
                <w:szCs w:val="24"/>
                <w:shd w:val="clear" w:color="auto" w:fill="FFFFFF"/>
              </w:rPr>
              <w:t xml:space="preserve">) területre és nem csak a jelen módosításban kialakuló - a tervezési területen jelölt - Kb-If-3 idegenforgalmi fogadóhely övezetére vonatkozóan. Kérem a 67. § javítását olyan formában, hogy a 67.§ (1) bekezdése a további két </w:t>
            </w:r>
            <w:r w:rsidRPr="00675DCE">
              <w:rPr>
                <w:rFonts w:ascii="Arial" w:hAnsi="Arial" w:cs="Arial"/>
                <w:sz w:val="24"/>
                <w:szCs w:val="24"/>
                <w:shd w:val="clear" w:color="auto" w:fill="FFFFFF"/>
              </w:rPr>
              <w:lastRenderedPageBreak/>
              <w:t>idegenforgalmi fogadóhely (Kb-If-1, Kb-If-2) övezetre vonatkozóan ne tartalmazzon rendelkezést, tekintettel arra, hogy ezek kívül esnek a 295/2025. (X.29.) számú határozatban kijelölt tervezési területen.</w:t>
            </w:r>
          </w:p>
        </w:tc>
        <w:tc>
          <w:tcPr>
            <w:tcW w:w="2378" w:type="dxa"/>
            <w:tcBorders>
              <w:top w:val="single" w:sz="4" w:space="0" w:color="auto"/>
              <w:left w:val="single" w:sz="4" w:space="0" w:color="auto"/>
              <w:bottom w:val="single" w:sz="4" w:space="0" w:color="auto"/>
              <w:right w:val="single" w:sz="4" w:space="0" w:color="auto"/>
            </w:tcBorders>
            <w:hideMark/>
          </w:tcPr>
          <w:p w14:paraId="37C64922" w14:textId="77777777" w:rsidR="00675DCE" w:rsidRPr="00675DCE" w:rsidRDefault="00675DCE" w:rsidP="00675DCE">
            <w:pPr>
              <w:widowControl w:val="0"/>
              <w:tabs>
                <w:tab w:val="left" w:pos="7380"/>
              </w:tabs>
              <w:autoSpaceDE w:val="0"/>
              <w:autoSpaceDN w:val="0"/>
              <w:spacing w:line="240" w:lineRule="auto"/>
              <w:rPr>
                <w:rFonts w:ascii="Arial" w:eastAsia="Times New Roman" w:hAnsi="Arial" w:cs="Arial"/>
                <w:sz w:val="24"/>
                <w:szCs w:val="24"/>
                <w:lang w:val="en-US"/>
              </w:rPr>
            </w:pPr>
            <w:r w:rsidRPr="00675DCE">
              <w:rPr>
                <w:rFonts w:ascii="Arial" w:eastAsia="Times New Roman" w:hAnsi="Arial" w:cs="Arial"/>
                <w:sz w:val="24"/>
                <w:szCs w:val="24"/>
                <w:lang w:val="en-US"/>
              </w:rPr>
              <w:lastRenderedPageBreak/>
              <w:t xml:space="preserve">A </w:t>
            </w:r>
            <w:proofErr w:type="spellStart"/>
            <w:r w:rsidRPr="00675DCE">
              <w:rPr>
                <w:rFonts w:ascii="Arial" w:eastAsia="Times New Roman" w:hAnsi="Arial" w:cs="Arial"/>
                <w:sz w:val="24"/>
                <w:szCs w:val="24"/>
                <w:lang w:val="en-US"/>
              </w:rPr>
              <w:t>kért</w:t>
            </w:r>
            <w:proofErr w:type="spellEnd"/>
            <w:r w:rsidRPr="00675DCE">
              <w:rPr>
                <w:rFonts w:ascii="Arial" w:eastAsia="Times New Roman" w:hAnsi="Arial" w:cs="Arial"/>
                <w:sz w:val="24"/>
                <w:szCs w:val="24"/>
                <w:lang w:val="en-US"/>
              </w:rPr>
              <w:t xml:space="preserve"> </w:t>
            </w:r>
            <w:proofErr w:type="spellStart"/>
            <w:r w:rsidRPr="00675DCE">
              <w:rPr>
                <w:rFonts w:ascii="Arial" w:eastAsia="Times New Roman" w:hAnsi="Arial" w:cs="Arial"/>
                <w:sz w:val="24"/>
                <w:szCs w:val="24"/>
                <w:lang w:val="en-US"/>
              </w:rPr>
              <w:t>pontosítás</w:t>
            </w:r>
            <w:proofErr w:type="spellEnd"/>
            <w:r w:rsidRPr="00675DCE">
              <w:rPr>
                <w:rFonts w:ascii="Arial" w:eastAsia="Times New Roman" w:hAnsi="Arial" w:cs="Arial"/>
                <w:sz w:val="24"/>
                <w:szCs w:val="24"/>
                <w:lang w:val="en-US"/>
              </w:rPr>
              <w:t xml:space="preserve"> a </w:t>
            </w:r>
            <w:proofErr w:type="spellStart"/>
            <w:r w:rsidRPr="00675DCE">
              <w:rPr>
                <w:rFonts w:ascii="Arial" w:eastAsia="Times New Roman" w:hAnsi="Arial" w:cs="Arial"/>
                <w:sz w:val="24"/>
                <w:szCs w:val="24"/>
                <w:lang w:val="en-US"/>
              </w:rPr>
              <w:t>rendelet</w:t>
            </w:r>
            <w:proofErr w:type="spellEnd"/>
            <w:r w:rsidRPr="00675DCE">
              <w:rPr>
                <w:rFonts w:ascii="Arial" w:eastAsia="Times New Roman" w:hAnsi="Arial" w:cs="Arial"/>
                <w:sz w:val="24"/>
                <w:szCs w:val="24"/>
                <w:lang w:val="en-US"/>
              </w:rPr>
              <w:t xml:space="preserve"> </w:t>
            </w:r>
            <w:proofErr w:type="spellStart"/>
            <w:r w:rsidRPr="00675DCE">
              <w:rPr>
                <w:rFonts w:ascii="Arial" w:eastAsia="Times New Roman" w:hAnsi="Arial" w:cs="Arial"/>
                <w:sz w:val="24"/>
                <w:szCs w:val="24"/>
                <w:lang w:val="en-US"/>
              </w:rPr>
              <w:t>tervezetbe</w:t>
            </w:r>
            <w:proofErr w:type="spellEnd"/>
            <w:r w:rsidRPr="00675DCE">
              <w:rPr>
                <w:rFonts w:ascii="Arial" w:eastAsia="Times New Roman" w:hAnsi="Arial" w:cs="Arial"/>
                <w:sz w:val="24"/>
                <w:szCs w:val="24"/>
                <w:lang w:val="en-US"/>
              </w:rPr>
              <w:t xml:space="preserve"> </w:t>
            </w:r>
            <w:proofErr w:type="spellStart"/>
            <w:r w:rsidRPr="00675DCE">
              <w:rPr>
                <w:rFonts w:ascii="Arial" w:eastAsia="Times New Roman" w:hAnsi="Arial" w:cs="Arial"/>
                <w:sz w:val="24"/>
                <w:szCs w:val="24"/>
                <w:lang w:val="en-US"/>
              </w:rPr>
              <w:t>átvezetésre</w:t>
            </w:r>
            <w:proofErr w:type="spellEnd"/>
            <w:r w:rsidRPr="00675DCE">
              <w:rPr>
                <w:rFonts w:ascii="Arial" w:eastAsia="Times New Roman" w:hAnsi="Arial" w:cs="Arial"/>
                <w:sz w:val="24"/>
                <w:szCs w:val="24"/>
                <w:lang w:val="en-US"/>
              </w:rPr>
              <w:t xml:space="preserve"> </w:t>
            </w:r>
            <w:proofErr w:type="spellStart"/>
            <w:r w:rsidRPr="00675DCE">
              <w:rPr>
                <w:rFonts w:ascii="Arial" w:eastAsia="Times New Roman" w:hAnsi="Arial" w:cs="Arial"/>
                <w:sz w:val="24"/>
                <w:szCs w:val="24"/>
                <w:lang w:val="en-US"/>
              </w:rPr>
              <w:t>kerül</w:t>
            </w:r>
            <w:proofErr w:type="spellEnd"/>
            <w:r w:rsidRPr="00675DCE">
              <w:rPr>
                <w:rFonts w:ascii="Arial" w:eastAsia="Times New Roman" w:hAnsi="Arial" w:cs="Arial"/>
                <w:sz w:val="24"/>
                <w:szCs w:val="24"/>
                <w:lang w:val="en-US"/>
              </w:rPr>
              <w:t>.</w:t>
            </w:r>
          </w:p>
        </w:tc>
      </w:tr>
      <w:tr w:rsidR="00675DCE" w:rsidRPr="00675DCE" w14:paraId="0E8B7A7D" w14:textId="77777777">
        <w:tc>
          <w:tcPr>
            <w:tcW w:w="750" w:type="dxa"/>
            <w:tcBorders>
              <w:top w:val="single" w:sz="4" w:space="0" w:color="auto"/>
              <w:left w:val="single" w:sz="4" w:space="0" w:color="auto"/>
              <w:bottom w:val="single" w:sz="4" w:space="0" w:color="auto"/>
              <w:right w:val="single" w:sz="4" w:space="0" w:color="auto"/>
            </w:tcBorders>
            <w:hideMark/>
          </w:tcPr>
          <w:p w14:paraId="4186740C"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10</w:t>
            </w:r>
          </w:p>
        </w:tc>
        <w:tc>
          <w:tcPr>
            <w:tcW w:w="2962" w:type="dxa"/>
            <w:tcBorders>
              <w:top w:val="single" w:sz="4" w:space="0" w:color="auto"/>
              <w:left w:val="single" w:sz="4" w:space="0" w:color="auto"/>
              <w:bottom w:val="single" w:sz="4" w:space="0" w:color="auto"/>
              <w:right w:val="single" w:sz="4" w:space="0" w:color="auto"/>
            </w:tcBorders>
            <w:hideMark/>
          </w:tcPr>
          <w:p w14:paraId="5E1ED776"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Budapest Főváros Kormányhivatala Népegészségügyi Főosztály</w:t>
            </w:r>
          </w:p>
        </w:tc>
        <w:tc>
          <w:tcPr>
            <w:tcW w:w="7902" w:type="dxa"/>
            <w:tcBorders>
              <w:top w:val="single" w:sz="4" w:space="0" w:color="auto"/>
              <w:left w:val="single" w:sz="4" w:space="0" w:color="auto"/>
              <w:bottom w:val="single" w:sz="4" w:space="0" w:color="auto"/>
              <w:right w:val="single" w:sz="4" w:space="0" w:color="auto"/>
            </w:tcBorders>
            <w:hideMark/>
          </w:tcPr>
          <w:p w14:paraId="603CA14F"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 xml:space="preserve">A településen természetes </w:t>
            </w:r>
            <w:proofErr w:type="spellStart"/>
            <w:r w:rsidRPr="00675DCE">
              <w:rPr>
                <w:rFonts w:ascii="Arial" w:hAnsi="Arial" w:cs="Arial"/>
                <w:sz w:val="24"/>
                <w:szCs w:val="24"/>
                <w:shd w:val="clear" w:color="auto" w:fill="FFFFFF"/>
              </w:rPr>
              <w:t>gyógytényező</w:t>
            </w:r>
            <w:proofErr w:type="spellEnd"/>
            <w:r w:rsidRPr="00675DCE">
              <w:rPr>
                <w:rFonts w:ascii="Arial" w:hAnsi="Arial" w:cs="Arial"/>
                <w:sz w:val="24"/>
                <w:szCs w:val="24"/>
                <w:shd w:val="clear" w:color="auto" w:fill="FFFFFF"/>
              </w:rPr>
              <w:t xml:space="preserve"> érintettsége nem áll fenn, ezért jelen esetben a BFKH véleményezési lehetőséggel nem rendelkezik.</w:t>
            </w:r>
          </w:p>
        </w:tc>
        <w:tc>
          <w:tcPr>
            <w:tcW w:w="2378" w:type="dxa"/>
            <w:tcBorders>
              <w:top w:val="single" w:sz="4" w:space="0" w:color="auto"/>
              <w:left w:val="single" w:sz="4" w:space="0" w:color="auto"/>
              <w:bottom w:val="single" w:sz="4" w:space="0" w:color="auto"/>
              <w:right w:val="single" w:sz="4" w:space="0" w:color="auto"/>
            </w:tcBorders>
            <w:hideMark/>
          </w:tcPr>
          <w:p w14:paraId="11052C91"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Észrevételt köszönjük.</w:t>
            </w:r>
          </w:p>
        </w:tc>
      </w:tr>
      <w:tr w:rsidR="00675DCE" w:rsidRPr="00675DCE" w14:paraId="6AF8D8B6" w14:textId="77777777">
        <w:tc>
          <w:tcPr>
            <w:tcW w:w="750" w:type="dxa"/>
            <w:tcBorders>
              <w:top w:val="single" w:sz="4" w:space="0" w:color="auto"/>
              <w:left w:val="single" w:sz="4" w:space="0" w:color="auto"/>
              <w:bottom w:val="single" w:sz="4" w:space="0" w:color="auto"/>
              <w:right w:val="single" w:sz="4" w:space="0" w:color="auto"/>
            </w:tcBorders>
            <w:hideMark/>
          </w:tcPr>
          <w:p w14:paraId="17E6CFA6"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11</w:t>
            </w:r>
          </w:p>
        </w:tc>
        <w:tc>
          <w:tcPr>
            <w:tcW w:w="2962" w:type="dxa"/>
            <w:tcBorders>
              <w:top w:val="single" w:sz="4" w:space="0" w:color="auto"/>
              <w:left w:val="single" w:sz="4" w:space="0" w:color="auto"/>
              <w:bottom w:val="single" w:sz="4" w:space="0" w:color="auto"/>
              <w:right w:val="single" w:sz="4" w:space="0" w:color="auto"/>
            </w:tcBorders>
            <w:hideMark/>
          </w:tcPr>
          <w:p w14:paraId="0CB8DCA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Duna-Ipoly Nemzeti Park Igazgatóság</w:t>
            </w:r>
          </w:p>
        </w:tc>
        <w:tc>
          <w:tcPr>
            <w:tcW w:w="7902" w:type="dxa"/>
            <w:tcBorders>
              <w:top w:val="single" w:sz="4" w:space="0" w:color="auto"/>
              <w:left w:val="single" w:sz="4" w:space="0" w:color="auto"/>
              <w:bottom w:val="single" w:sz="4" w:space="0" w:color="auto"/>
              <w:right w:val="single" w:sz="4" w:space="0" w:color="auto"/>
            </w:tcBorders>
            <w:hideMark/>
          </w:tcPr>
          <w:p w14:paraId="2AF61291"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A tárgyi fejlesztés kapcsán előzetesen két alkalommal (2025.04.03-án és 2025.09.04-én) került sor online egyeztetésre az Önkormányzat, illetve a beruházó, a természetvédelmi hatóság és Igazgatóságunk részvételével. A Mór 0970 hrsz-</w:t>
            </w:r>
            <w:proofErr w:type="spellStart"/>
            <w:r w:rsidRPr="00675DCE">
              <w:rPr>
                <w:rFonts w:ascii="Arial" w:hAnsi="Arial" w:cs="Arial"/>
                <w:sz w:val="24"/>
                <w:szCs w:val="24"/>
                <w:shd w:val="clear" w:color="auto" w:fill="FFFFFF"/>
              </w:rPr>
              <w:t>on</w:t>
            </w:r>
            <w:proofErr w:type="spellEnd"/>
            <w:r w:rsidRPr="00675DCE">
              <w:rPr>
                <w:rFonts w:ascii="Arial" w:hAnsi="Arial" w:cs="Arial"/>
                <w:sz w:val="24"/>
                <w:szCs w:val="24"/>
                <w:shd w:val="clear" w:color="auto" w:fill="FFFFFF"/>
              </w:rPr>
              <w:t xml:space="preserve"> található halastó és a fejlesztéssel szintén érintett 0972/l5 hrsz-ú ingatlan részét képezi a Magyarország és egyes kiemelt térségeinek területrendezési tervéről szóló 2018. évi CXXXIX. törvényben lehatárolt ökológiai hálózat ökológiai folyosó övezetének. Az egyeztetésen </w:t>
            </w:r>
            <w:proofErr w:type="spellStart"/>
            <w:r w:rsidRPr="00675DCE">
              <w:rPr>
                <w:rFonts w:ascii="Arial" w:hAnsi="Arial" w:cs="Arial"/>
                <w:sz w:val="24"/>
                <w:szCs w:val="24"/>
                <w:shd w:val="clear" w:color="auto" w:fill="FFFFFF"/>
              </w:rPr>
              <w:t>elhangzottaknak</w:t>
            </w:r>
            <w:proofErr w:type="spellEnd"/>
            <w:r w:rsidRPr="00675DCE">
              <w:rPr>
                <w:rFonts w:ascii="Arial" w:hAnsi="Arial" w:cs="Arial"/>
                <w:sz w:val="24"/>
                <w:szCs w:val="24"/>
                <w:shd w:val="clear" w:color="auto" w:fill="FFFFFF"/>
              </w:rPr>
              <w:t xml:space="preserve"> megfelelően az építési helyeket az ökológiai folyosó övezeten kívül szükséges kijelölve, és az építési helyen kívül új építményt elhelyezni nem lehet. Az egyeztetéseken megállapításra került továbbá, hogy az ökológiai folyosó által érintett területet meg kell tartani természetes formájában: vagy </w:t>
            </w:r>
            <w:proofErr w:type="gramStart"/>
            <w:r w:rsidRPr="00675DCE">
              <w:rPr>
                <w:rFonts w:ascii="Arial" w:hAnsi="Arial" w:cs="Arial"/>
                <w:sz w:val="24"/>
                <w:szCs w:val="24"/>
                <w:shd w:val="clear" w:color="auto" w:fill="FFFFFF"/>
              </w:rPr>
              <w:t>vízgazdálkodási területként</w:t>
            </w:r>
            <w:proofErr w:type="gramEnd"/>
            <w:r w:rsidRPr="00675DCE">
              <w:rPr>
                <w:rFonts w:ascii="Arial" w:hAnsi="Arial" w:cs="Arial"/>
                <w:sz w:val="24"/>
                <w:szCs w:val="24"/>
                <w:shd w:val="clear" w:color="auto" w:fill="FFFFFF"/>
              </w:rPr>
              <w:t xml:space="preserve"> vagy a különleges beépítésre nem szánt idegenforgalmi fogadóhely (Kb-If-3) övezeten belül a telek be nem építhető részeként, telken belül zöldterületként megtartandó telekrészként szükséges jelölni. A megküldött tervdokumentáció szerint az építési helyek az ökológiai folyosó övezeten kívül kerültek kijelölésre, a Kb-If-3 jelű övezetben az ökológiai folyosó övezethez tartozó részen ’telken belül zöldfelületként megtartandó telekrész’, valamint ’telek be nem építhető része’ szabályozás került meghatározásra. A környezeti vizsgálat szükségességének eldöntésére vonatkozó </w:t>
            </w:r>
            <w:proofErr w:type="spellStart"/>
            <w:r w:rsidRPr="00675DCE">
              <w:rPr>
                <w:rFonts w:ascii="Arial" w:hAnsi="Arial" w:cs="Arial"/>
                <w:sz w:val="24"/>
                <w:szCs w:val="24"/>
                <w:shd w:val="clear" w:color="auto" w:fill="FFFFFF"/>
              </w:rPr>
              <w:t>egyezetési</w:t>
            </w:r>
            <w:proofErr w:type="spellEnd"/>
            <w:r w:rsidRPr="00675DCE">
              <w:rPr>
                <w:rFonts w:ascii="Arial" w:hAnsi="Arial" w:cs="Arial"/>
                <w:sz w:val="24"/>
                <w:szCs w:val="24"/>
                <w:shd w:val="clear" w:color="auto" w:fill="FFFFFF"/>
              </w:rPr>
              <w:t xml:space="preserve"> eljárás során Igazgatóságunk DINPI/147/2026. ügyiratszámú állásfoglalásában kérte, hogy a Kb-If-3 jelű övezetben a zöldfelület minimum harmadát 3 szintes </w:t>
            </w:r>
            <w:r w:rsidRPr="00675DCE">
              <w:rPr>
                <w:rFonts w:ascii="Arial" w:hAnsi="Arial" w:cs="Arial"/>
                <w:sz w:val="24"/>
                <w:szCs w:val="24"/>
                <w:shd w:val="clear" w:color="auto" w:fill="FFFFFF"/>
              </w:rPr>
              <w:lastRenderedPageBreak/>
              <w:t xml:space="preserve">növényállománnyal, honos, a táji- és termőhelyi adottságoknak megfelelő növényfajok alkalmazásával kerüljön kialakításra. A helyi építési szabályzat 67. § (3) bekezdésében került beépítésre. A Kb-If-3 jelű övezetre vonatkozó előírások az egyeztetéseken </w:t>
            </w:r>
            <w:proofErr w:type="spellStart"/>
            <w:r w:rsidRPr="00675DCE">
              <w:rPr>
                <w:rFonts w:ascii="Arial" w:hAnsi="Arial" w:cs="Arial"/>
                <w:sz w:val="24"/>
                <w:szCs w:val="24"/>
                <w:shd w:val="clear" w:color="auto" w:fill="FFFFFF"/>
              </w:rPr>
              <w:t>elhangzottaknak</w:t>
            </w:r>
            <w:proofErr w:type="spellEnd"/>
            <w:r w:rsidRPr="00675DCE">
              <w:rPr>
                <w:rFonts w:ascii="Arial" w:hAnsi="Arial" w:cs="Arial"/>
                <w:sz w:val="24"/>
                <w:szCs w:val="24"/>
                <w:shd w:val="clear" w:color="auto" w:fill="FFFFFF"/>
              </w:rPr>
              <w:t xml:space="preserve"> és Igazgatóságunk előzetes állásfoglalásnak, kérésének megfelel. Mindezek alapján Igazgatóságunk a településszerkezeti terv és a helyi építési szabályzat jelen módosítását táj- és természetvédelmi szempontból elfogadhatónak tartja. </w:t>
            </w:r>
          </w:p>
        </w:tc>
        <w:tc>
          <w:tcPr>
            <w:tcW w:w="2378" w:type="dxa"/>
            <w:tcBorders>
              <w:top w:val="single" w:sz="4" w:space="0" w:color="auto"/>
              <w:left w:val="single" w:sz="4" w:space="0" w:color="auto"/>
              <w:bottom w:val="single" w:sz="4" w:space="0" w:color="auto"/>
              <w:right w:val="single" w:sz="4" w:space="0" w:color="auto"/>
            </w:tcBorders>
            <w:hideMark/>
          </w:tcPr>
          <w:p w14:paraId="3D330FFB"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lastRenderedPageBreak/>
              <w:t>Észrevételt köszönjük, a kért javaslatot figyelembe vesszük.</w:t>
            </w:r>
          </w:p>
        </w:tc>
      </w:tr>
      <w:tr w:rsidR="00675DCE" w:rsidRPr="00675DCE" w14:paraId="76C2F55F" w14:textId="77777777">
        <w:tc>
          <w:tcPr>
            <w:tcW w:w="750" w:type="dxa"/>
            <w:tcBorders>
              <w:top w:val="single" w:sz="4" w:space="0" w:color="auto"/>
              <w:left w:val="single" w:sz="4" w:space="0" w:color="auto"/>
              <w:bottom w:val="single" w:sz="4" w:space="0" w:color="auto"/>
              <w:right w:val="single" w:sz="4" w:space="0" w:color="auto"/>
            </w:tcBorders>
            <w:hideMark/>
          </w:tcPr>
          <w:p w14:paraId="679EB7B9"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12</w:t>
            </w:r>
          </w:p>
        </w:tc>
        <w:tc>
          <w:tcPr>
            <w:tcW w:w="2962" w:type="dxa"/>
            <w:tcBorders>
              <w:top w:val="single" w:sz="4" w:space="0" w:color="auto"/>
              <w:left w:val="single" w:sz="4" w:space="0" w:color="auto"/>
              <w:bottom w:val="single" w:sz="4" w:space="0" w:color="auto"/>
              <w:right w:val="single" w:sz="4" w:space="0" w:color="auto"/>
            </w:tcBorders>
            <w:hideMark/>
          </w:tcPr>
          <w:p w14:paraId="4EFB2CE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Építési és Közlekedési Minisztérium Vasúti Hatósági Főosztály</w:t>
            </w:r>
          </w:p>
        </w:tc>
        <w:tc>
          <w:tcPr>
            <w:tcW w:w="7902" w:type="dxa"/>
            <w:tcBorders>
              <w:top w:val="single" w:sz="4" w:space="0" w:color="auto"/>
              <w:left w:val="single" w:sz="4" w:space="0" w:color="auto"/>
              <w:bottom w:val="single" w:sz="4" w:space="0" w:color="auto"/>
              <w:right w:val="single" w:sz="4" w:space="0" w:color="auto"/>
            </w:tcBorders>
            <w:hideMark/>
          </w:tcPr>
          <w:p w14:paraId="14F6FEC0"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A Mór Város Önkormányzata (8060 Mór, Szent István tér 6.) E-TÉR 31604 hivatkozott számon az Építési és Közlekedési Minisztérium Közlekedési Hatósági Ügyekért Felelős Helyettes Államtitkárság Vasúti Hatósági Főosztályhoz (1138 Budapest, Váci út 188., a továbbiakban: vasúti közlekedési hatóság) megküldött „Mór településrendezési eszközök 8. sz. módosítása” tárgyú megkeresésére az alábbi tájékoztatást adom: A közlekedési igazgatási feladatokkal összefüggő hatósági feladatokat ellátó szervek kijelöléséről szóló 382/2016. (XII. 2.) Korm. rendelet 6. § (5) alapján a vasúti közlekedési hatóság a településfejlesztési terv és a településrendezési terv a vasúti pályahálózattal érintett település esetében történő egyeztetési eljárásai során, mint kijelölt hatóság jár el. Mór város településrendezési eszközeinek módosítása vonatkozásában a vasúti közlekedési hatóság észrevételt nem tesz. Egyebekben tájékoztatom, hogy a fejlesztés megvalósítási szakaszában az egyes közérdeken alapuló kényszerítő indok alapján eljáró szakhatóságok kijelöléséről szóló 531/2017. (XII. 29.) Korm. rendelet 1. melléklet 4. Építésügyi ügyek 21. pontjában foglaltak teljesülése esetén az építtetőnek a vasúti közlekedési hatóságot, mint szakhatóságot kell megkeresnie.</w:t>
            </w:r>
          </w:p>
        </w:tc>
        <w:tc>
          <w:tcPr>
            <w:tcW w:w="2378" w:type="dxa"/>
            <w:tcBorders>
              <w:top w:val="single" w:sz="4" w:space="0" w:color="auto"/>
              <w:left w:val="single" w:sz="4" w:space="0" w:color="auto"/>
              <w:bottom w:val="single" w:sz="4" w:space="0" w:color="auto"/>
              <w:right w:val="single" w:sz="4" w:space="0" w:color="auto"/>
            </w:tcBorders>
            <w:hideMark/>
          </w:tcPr>
          <w:p w14:paraId="6297DB3F"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Észrevételt köszönjük.</w:t>
            </w:r>
          </w:p>
        </w:tc>
      </w:tr>
      <w:tr w:rsidR="00675DCE" w:rsidRPr="00675DCE" w14:paraId="7CC89E9E" w14:textId="77777777">
        <w:tc>
          <w:tcPr>
            <w:tcW w:w="750" w:type="dxa"/>
            <w:tcBorders>
              <w:top w:val="single" w:sz="4" w:space="0" w:color="auto"/>
              <w:left w:val="single" w:sz="4" w:space="0" w:color="auto"/>
              <w:bottom w:val="single" w:sz="4" w:space="0" w:color="auto"/>
              <w:right w:val="single" w:sz="4" w:space="0" w:color="auto"/>
            </w:tcBorders>
            <w:hideMark/>
          </w:tcPr>
          <w:p w14:paraId="304C3686"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13</w:t>
            </w:r>
          </w:p>
        </w:tc>
        <w:tc>
          <w:tcPr>
            <w:tcW w:w="2962" w:type="dxa"/>
            <w:tcBorders>
              <w:top w:val="single" w:sz="4" w:space="0" w:color="auto"/>
              <w:left w:val="single" w:sz="4" w:space="0" w:color="auto"/>
              <w:bottom w:val="single" w:sz="4" w:space="0" w:color="auto"/>
              <w:right w:val="single" w:sz="4" w:space="0" w:color="auto"/>
            </w:tcBorders>
            <w:hideMark/>
          </w:tcPr>
          <w:p w14:paraId="76D473A4"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Nemzeti Média- és Hírközlési Hatóság</w:t>
            </w:r>
          </w:p>
        </w:tc>
        <w:tc>
          <w:tcPr>
            <w:tcW w:w="7902" w:type="dxa"/>
            <w:tcBorders>
              <w:top w:val="single" w:sz="4" w:space="0" w:color="auto"/>
              <w:left w:val="single" w:sz="4" w:space="0" w:color="auto"/>
              <w:bottom w:val="single" w:sz="4" w:space="0" w:color="auto"/>
              <w:right w:val="single" w:sz="4" w:space="0" w:color="auto"/>
            </w:tcBorders>
            <w:hideMark/>
          </w:tcPr>
          <w:p w14:paraId="4F6546ED"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A tervezet hírközlési érdeket nem sért, a tervezet ellen a Hatóság kifogást nem emel.</w:t>
            </w:r>
          </w:p>
        </w:tc>
        <w:tc>
          <w:tcPr>
            <w:tcW w:w="2378" w:type="dxa"/>
            <w:tcBorders>
              <w:top w:val="single" w:sz="4" w:space="0" w:color="auto"/>
              <w:left w:val="single" w:sz="4" w:space="0" w:color="auto"/>
              <w:bottom w:val="single" w:sz="4" w:space="0" w:color="auto"/>
              <w:right w:val="single" w:sz="4" w:space="0" w:color="auto"/>
            </w:tcBorders>
            <w:hideMark/>
          </w:tcPr>
          <w:p w14:paraId="7B5EBEBF"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Észrevételt köszönjük.</w:t>
            </w:r>
          </w:p>
        </w:tc>
      </w:tr>
      <w:tr w:rsidR="00675DCE" w:rsidRPr="00675DCE" w14:paraId="1E4C72D0" w14:textId="77777777">
        <w:tc>
          <w:tcPr>
            <w:tcW w:w="750" w:type="dxa"/>
            <w:tcBorders>
              <w:top w:val="single" w:sz="4" w:space="0" w:color="auto"/>
              <w:left w:val="single" w:sz="4" w:space="0" w:color="auto"/>
              <w:bottom w:val="single" w:sz="4" w:space="0" w:color="auto"/>
              <w:right w:val="single" w:sz="4" w:space="0" w:color="auto"/>
            </w:tcBorders>
            <w:hideMark/>
          </w:tcPr>
          <w:p w14:paraId="377A0FB5"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14</w:t>
            </w:r>
          </w:p>
        </w:tc>
        <w:tc>
          <w:tcPr>
            <w:tcW w:w="2962" w:type="dxa"/>
            <w:tcBorders>
              <w:top w:val="single" w:sz="4" w:space="0" w:color="auto"/>
              <w:left w:val="single" w:sz="4" w:space="0" w:color="auto"/>
              <w:bottom w:val="single" w:sz="4" w:space="0" w:color="auto"/>
              <w:right w:val="single" w:sz="4" w:space="0" w:color="auto"/>
            </w:tcBorders>
            <w:hideMark/>
          </w:tcPr>
          <w:p w14:paraId="60B9536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 xml:space="preserve">Szabályozott Tevékenységek </w:t>
            </w:r>
            <w:r w:rsidRPr="00675DCE">
              <w:rPr>
                <w:rFonts w:ascii="Arial" w:hAnsi="Arial" w:cs="Arial"/>
                <w:sz w:val="24"/>
                <w:szCs w:val="24"/>
              </w:rPr>
              <w:lastRenderedPageBreak/>
              <w:t>Felügyeleti Hatósága Bányászati és Gázipari Főosztály Veszprémi Bányafelügyeleti Osztály</w:t>
            </w:r>
          </w:p>
        </w:tc>
        <w:tc>
          <w:tcPr>
            <w:tcW w:w="7902" w:type="dxa"/>
            <w:tcBorders>
              <w:top w:val="single" w:sz="4" w:space="0" w:color="auto"/>
              <w:left w:val="single" w:sz="4" w:space="0" w:color="auto"/>
              <w:bottom w:val="single" w:sz="4" w:space="0" w:color="auto"/>
              <w:right w:val="single" w:sz="4" w:space="0" w:color="auto"/>
            </w:tcBorders>
            <w:hideMark/>
          </w:tcPr>
          <w:p w14:paraId="40C20058"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rPr>
              <w:lastRenderedPageBreak/>
              <w:t xml:space="preserve"> A Bányafelügyelet megállapította, hogy a hatáskörébe tartozó szakmai kérdések tekintetében érintett, mivel a módosítással érintett ingatlanok </w:t>
            </w:r>
            <w:r w:rsidRPr="00675DCE">
              <w:rPr>
                <w:rFonts w:ascii="Arial" w:hAnsi="Arial" w:cs="Arial"/>
                <w:sz w:val="24"/>
                <w:szCs w:val="24"/>
              </w:rPr>
              <w:lastRenderedPageBreak/>
              <w:t xml:space="preserve">bányaterületet érintenek. A módosítással érintett területeken földtani veszélyforrás nincs, azonban ásványvagyon védelmi és bányászati jogot érintő problémát vethet fel. Mór Város Önkormányzata településrendezési tervének módosításával kapcsolatban megállapítható, hogy jelenleg a közigazgatási területén található a LAMMAGRÁR Mezőgazdasági és Szolgáltató Kft. Mór I. – homok </w:t>
            </w:r>
            <w:proofErr w:type="spellStart"/>
            <w:r w:rsidRPr="00675DCE">
              <w:rPr>
                <w:rFonts w:ascii="Arial" w:hAnsi="Arial" w:cs="Arial"/>
                <w:sz w:val="24"/>
                <w:szCs w:val="24"/>
              </w:rPr>
              <w:t>védnevű</w:t>
            </w:r>
            <w:proofErr w:type="spellEnd"/>
            <w:r w:rsidRPr="00675DCE">
              <w:rPr>
                <w:rFonts w:ascii="Arial" w:hAnsi="Arial" w:cs="Arial"/>
                <w:sz w:val="24"/>
                <w:szCs w:val="24"/>
              </w:rPr>
              <w:t xml:space="preserve"> bányatelke, ezért amennyiben a módosítás érinti a bányatelket, a Bányavállalkozóval egyeztetni szükséges.</w:t>
            </w:r>
          </w:p>
        </w:tc>
        <w:tc>
          <w:tcPr>
            <w:tcW w:w="2378" w:type="dxa"/>
            <w:tcBorders>
              <w:top w:val="single" w:sz="4" w:space="0" w:color="auto"/>
              <w:left w:val="single" w:sz="4" w:space="0" w:color="auto"/>
              <w:bottom w:val="single" w:sz="4" w:space="0" w:color="auto"/>
              <w:right w:val="single" w:sz="4" w:space="0" w:color="auto"/>
            </w:tcBorders>
            <w:hideMark/>
          </w:tcPr>
          <w:p w14:paraId="6D940CF4"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lastRenderedPageBreak/>
              <w:t>Észrevételt köszönjük.</w:t>
            </w:r>
          </w:p>
          <w:p w14:paraId="63C1D670"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lastRenderedPageBreak/>
              <w:t>A tényleges bányatelket a módosítás nem érinti.</w:t>
            </w:r>
          </w:p>
        </w:tc>
      </w:tr>
      <w:tr w:rsidR="00675DCE" w:rsidRPr="00675DCE" w14:paraId="3CEC9B52" w14:textId="77777777">
        <w:tc>
          <w:tcPr>
            <w:tcW w:w="750" w:type="dxa"/>
            <w:tcBorders>
              <w:top w:val="single" w:sz="4" w:space="0" w:color="auto"/>
              <w:left w:val="single" w:sz="4" w:space="0" w:color="auto"/>
              <w:bottom w:val="single" w:sz="4" w:space="0" w:color="auto"/>
              <w:right w:val="single" w:sz="4" w:space="0" w:color="auto"/>
            </w:tcBorders>
            <w:hideMark/>
          </w:tcPr>
          <w:p w14:paraId="75DD4D28"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lastRenderedPageBreak/>
              <w:t>15</w:t>
            </w:r>
          </w:p>
        </w:tc>
        <w:tc>
          <w:tcPr>
            <w:tcW w:w="2962" w:type="dxa"/>
            <w:tcBorders>
              <w:top w:val="single" w:sz="4" w:space="0" w:color="auto"/>
              <w:left w:val="single" w:sz="4" w:space="0" w:color="auto"/>
              <w:bottom w:val="single" w:sz="4" w:space="0" w:color="auto"/>
              <w:right w:val="single" w:sz="4" w:space="0" w:color="auto"/>
            </w:tcBorders>
            <w:hideMark/>
          </w:tcPr>
          <w:p w14:paraId="45E5EF31"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Fejér Vármegyei Kormányhivatal Tűzvédelmi, Iparbiztonsági és Vízügyi Hatósági Főosztály</w:t>
            </w:r>
          </w:p>
          <w:p w14:paraId="211607CA"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Tűzvédelmi és Iparbiztonsági Osztály</w:t>
            </w:r>
          </w:p>
        </w:tc>
        <w:tc>
          <w:tcPr>
            <w:tcW w:w="7902" w:type="dxa"/>
            <w:tcBorders>
              <w:top w:val="single" w:sz="4" w:space="0" w:color="auto"/>
              <w:left w:val="single" w:sz="4" w:space="0" w:color="auto"/>
              <w:bottom w:val="single" w:sz="4" w:space="0" w:color="auto"/>
              <w:right w:val="single" w:sz="4" w:space="0" w:color="auto"/>
            </w:tcBorders>
            <w:hideMark/>
          </w:tcPr>
          <w:p w14:paraId="653593D1"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 xml:space="preserve">Tekintettel arra, hogy a módosítás nem érint veszélyes </w:t>
            </w:r>
            <w:proofErr w:type="spellStart"/>
            <w:r w:rsidRPr="00675DCE">
              <w:rPr>
                <w:rFonts w:ascii="Arial" w:hAnsi="Arial" w:cs="Arial"/>
                <w:sz w:val="24"/>
                <w:szCs w:val="24"/>
                <w:shd w:val="clear" w:color="auto" w:fill="FFFFFF"/>
              </w:rPr>
              <w:t>anyagkokkal</w:t>
            </w:r>
            <w:proofErr w:type="spellEnd"/>
            <w:r w:rsidRPr="00675DCE">
              <w:rPr>
                <w:rFonts w:ascii="Arial" w:hAnsi="Arial" w:cs="Arial"/>
                <w:sz w:val="24"/>
                <w:szCs w:val="24"/>
                <w:shd w:val="clear" w:color="auto" w:fill="FFFFFF"/>
              </w:rPr>
              <w:t xml:space="preserve"> foglalkozó és küszöbérték alatti üzemet, megállapítottam, hogy iparbiztonsági szempontból a tervezett módosításokat nem kifogásolom.</w:t>
            </w:r>
          </w:p>
        </w:tc>
        <w:tc>
          <w:tcPr>
            <w:tcW w:w="2378" w:type="dxa"/>
            <w:tcBorders>
              <w:top w:val="single" w:sz="4" w:space="0" w:color="auto"/>
              <w:left w:val="single" w:sz="4" w:space="0" w:color="auto"/>
              <w:bottom w:val="single" w:sz="4" w:space="0" w:color="auto"/>
              <w:right w:val="single" w:sz="4" w:space="0" w:color="auto"/>
            </w:tcBorders>
            <w:hideMark/>
          </w:tcPr>
          <w:p w14:paraId="5374A50C"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Észrevételt köszönjük.</w:t>
            </w:r>
          </w:p>
        </w:tc>
      </w:tr>
      <w:tr w:rsidR="00675DCE" w:rsidRPr="00675DCE" w14:paraId="7CBB84B8" w14:textId="77777777">
        <w:tc>
          <w:tcPr>
            <w:tcW w:w="750" w:type="dxa"/>
            <w:tcBorders>
              <w:top w:val="single" w:sz="4" w:space="0" w:color="auto"/>
              <w:left w:val="single" w:sz="4" w:space="0" w:color="auto"/>
              <w:bottom w:val="single" w:sz="4" w:space="0" w:color="auto"/>
              <w:right w:val="single" w:sz="4" w:space="0" w:color="auto"/>
            </w:tcBorders>
            <w:hideMark/>
          </w:tcPr>
          <w:p w14:paraId="5C0F6A16"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16</w:t>
            </w:r>
          </w:p>
        </w:tc>
        <w:tc>
          <w:tcPr>
            <w:tcW w:w="2962" w:type="dxa"/>
            <w:tcBorders>
              <w:top w:val="single" w:sz="4" w:space="0" w:color="auto"/>
              <w:left w:val="single" w:sz="4" w:space="0" w:color="auto"/>
              <w:bottom w:val="single" w:sz="4" w:space="0" w:color="auto"/>
              <w:right w:val="single" w:sz="4" w:space="0" w:color="auto"/>
            </w:tcBorders>
            <w:hideMark/>
          </w:tcPr>
          <w:p w14:paraId="5665AAE7"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Pest Vármegyei Kormányhivatal Agrárügyi Főosztály Erdőfelügyeleti Osztály</w:t>
            </w:r>
          </w:p>
        </w:tc>
        <w:tc>
          <w:tcPr>
            <w:tcW w:w="7902" w:type="dxa"/>
            <w:tcBorders>
              <w:top w:val="single" w:sz="4" w:space="0" w:color="auto"/>
              <w:left w:val="single" w:sz="4" w:space="0" w:color="auto"/>
              <w:bottom w:val="single" w:sz="4" w:space="0" w:color="auto"/>
              <w:right w:val="single" w:sz="4" w:space="0" w:color="auto"/>
            </w:tcBorders>
            <w:hideMark/>
          </w:tcPr>
          <w:p w14:paraId="155A42C0"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rPr>
              <w:t xml:space="preserve"> </w:t>
            </w:r>
            <w:r w:rsidRPr="00675DCE">
              <w:rPr>
                <w:rFonts w:ascii="Arial" w:hAnsi="Arial" w:cs="Arial"/>
                <w:sz w:val="24"/>
                <w:szCs w:val="24"/>
                <w:shd w:val="clear" w:color="auto" w:fill="FFFFFF"/>
              </w:rPr>
              <w:t xml:space="preserve">A tervezett módosítások közvetlenül nem érintenek az erdőről, az erdő védelméről és az erdőgazdálkodásról szóló 2009. évi XXXVII. törvény szerinti, az Országos Erdőállomány Adattárban nyilvántartott erdőt. A vizsgált tevékenység (módosítás) erdő igénybevételével nem jár, így az erdőkre gyakorolt közvetett hatása nincs. </w:t>
            </w:r>
          </w:p>
          <w:p w14:paraId="42BF89A1" w14:textId="77777777" w:rsidR="00675DCE" w:rsidRPr="00675DCE" w:rsidRDefault="00675DCE" w:rsidP="00675DCE">
            <w:pPr>
              <w:spacing w:line="254" w:lineRule="auto"/>
              <w:jc w:val="both"/>
              <w:rPr>
                <w:rFonts w:ascii="Arial" w:hAnsi="Arial" w:cs="Arial"/>
                <w:sz w:val="24"/>
                <w:szCs w:val="24"/>
                <w:shd w:val="clear" w:color="auto" w:fill="FFFFFF"/>
              </w:rPr>
            </w:pPr>
            <w:r w:rsidRPr="00675DCE">
              <w:rPr>
                <w:rFonts w:ascii="Arial" w:hAnsi="Arial" w:cs="Arial"/>
                <w:sz w:val="24"/>
                <w:szCs w:val="24"/>
                <w:shd w:val="clear" w:color="auto" w:fill="FFFFFF"/>
              </w:rPr>
              <w:t>A Településrendezési tervmódosítási eljárásában a környező erdők esetében a fenntartható erdőgazdálkodást és az erdők közérdekű szolgáltatásainak biztosítását nem látom veszélyeztetve, ezért a tervezettel, véleményezési dokumentációval kapcsolatban kifogást nem emelek.</w:t>
            </w:r>
          </w:p>
        </w:tc>
        <w:tc>
          <w:tcPr>
            <w:tcW w:w="2378" w:type="dxa"/>
            <w:tcBorders>
              <w:top w:val="single" w:sz="4" w:space="0" w:color="auto"/>
              <w:left w:val="single" w:sz="4" w:space="0" w:color="auto"/>
              <w:bottom w:val="single" w:sz="4" w:space="0" w:color="auto"/>
              <w:right w:val="single" w:sz="4" w:space="0" w:color="auto"/>
            </w:tcBorders>
            <w:hideMark/>
          </w:tcPr>
          <w:p w14:paraId="490FC313" w14:textId="77777777" w:rsidR="00675DCE" w:rsidRPr="00675DCE" w:rsidRDefault="00675DCE" w:rsidP="00675DCE">
            <w:pPr>
              <w:spacing w:line="254" w:lineRule="auto"/>
              <w:jc w:val="both"/>
              <w:rPr>
                <w:rFonts w:ascii="Arial" w:hAnsi="Arial" w:cs="Arial"/>
                <w:sz w:val="24"/>
                <w:szCs w:val="24"/>
              </w:rPr>
            </w:pPr>
            <w:r w:rsidRPr="00675DCE">
              <w:rPr>
                <w:rFonts w:ascii="Arial" w:hAnsi="Arial" w:cs="Arial"/>
                <w:sz w:val="24"/>
                <w:szCs w:val="24"/>
              </w:rPr>
              <w:t>Észrevételt köszönjük.</w:t>
            </w:r>
          </w:p>
        </w:tc>
      </w:tr>
    </w:tbl>
    <w:p w14:paraId="40DF785C" w14:textId="77777777" w:rsidR="00675DCE" w:rsidRPr="00675DCE" w:rsidRDefault="00675DCE" w:rsidP="00675DCE">
      <w:pPr>
        <w:spacing w:after="0" w:line="254" w:lineRule="auto"/>
        <w:jc w:val="both"/>
        <w:rPr>
          <w:rFonts w:ascii="Calibri" w:eastAsia="Calibri" w:hAnsi="Calibri" w:cs="Times New Roman"/>
        </w:rPr>
      </w:pPr>
    </w:p>
    <w:bookmarkEnd w:id="0"/>
    <w:p w14:paraId="58194274" w14:textId="77777777" w:rsidR="00675DCE" w:rsidRPr="00675DCE" w:rsidRDefault="00675DCE" w:rsidP="00675DCE">
      <w:pPr>
        <w:spacing w:after="0" w:line="254" w:lineRule="auto"/>
        <w:jc w:val="both"/>
        <w:rPr>
          <w:rFonts w:ascii="Calibri" w:eastAsia="Calibri" w:hAnsi="Calibri" w:cs="Times New Roman"/>
        </w:rPr>
      </w:pPr>
    </w:p>
    <w:p w14:paraId="5718B54A" w14:textId="072EC454"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675DCE">
      <w:pgSz w:w="16838" w:h="11906" w:orient="landscape"/>
      <w:pgMar w:top="136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5FC3C" w14:textId="77777777" w:rsidR="00D65E9B" w:rsidRDefault="00D65E9B">
      <w:pPr>
        <w:spacing w:after="0" w:line="240" w:lineRule="auto"/>
      </w:pPr>
      <w:r>
        <w:separator/>
      </w:r>
    </w:p>
  </w:endnote>
  <w:endnote w:type="continuationSeparator" w:id="0">
    <w:p w14:paraId="7A398D17" w14:textId="77777777" w:rsidR="00D65E9B" w:rsidRDefault="00D65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4BDB" w14:textId="77777777" w:rsidR="00D65E9B" w:rsidRDefault="00D65E9B">
      <w:pPr>
        <w:spacing w:after="0" w:line="240" w:lineRule="auto"/>
      </w:pPr>
      <w:r>
        <w:separator/>
      </w:r>
    </w:p>
  </w:footnote>
  <w:footnote w:type="continuationSeparator" w:id="0">
    <w:p w14:paraId="55B09C18" w14:textId="77777777" w:rsidR="00D65E9B" w:rsidRDefault="00D65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06FCD"/>
    <w:multiLevelType w:val="hybridMultilevel"/>
    <w:tmpl w:val="9BC66E5A"/>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8E1970"/>
    <w:multiLevelType w:val="hybridMultilevel"/>
    <w:tmpl w:val="E49CE0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1B2B95"/>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5A713D"/>
    <w:multiLevelType w:val="hybridMultilevel"/>
    <w:tmpl w:val="365CEF56"/>
    <w:lvl w:ilvl="0" w:tplc="A47A77D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3D377C"/>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E46789"/>
    <w:multiLevelType w:val="hybridMultilevel"/>
    <w:tmpl w:val="8ABA835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1300123A"/>
    <w:multiLevelType w:val="hybridMultilevel"/>
    <w:tmpl w:val="D8D2A414"/>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7694BA3"/>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6C00D0"/>
    <w:multiLevelType w:val="hybridMultilevel"/>
    <w:tmpl w:val="2CDE9026"/>
    <w:lvl w:ilvl="0" w:tplc="850A39E6">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14" w15:restartNumberingAfterBreak="0">
    <w:nsid w:val="20F74E1C"/>
    <w:multiLevelType w:val="hybridMultilevel"/>
    <w:tmpl w:val="9BC66E5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1512CF"/>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EC3D4F"/>
    <w:multiLevelType w:val="hybridMultilevel"/>
    <w:tmpl w:val="D90E715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2BDC64AF"/>
    <w:multiLevelType w:val="hybridMultilevel"/>
    <w:tmpl w:val="3404D74E"/>
    <w:lvl w:ilvl="0" w:tplc="0E94905A">
      <w:start w:val="1"/>
      <w:numFmt w:val="decimal"/>
      <w:lvlText w:val="%1.)"/>
      <w:lvlJc w:val="left"/>
      <w:pPr>
        <w:ind w:left="704" w:hanging="4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8" w15:restartNumberingAfterBreak="0">
    <w:nsid w:val="2D1131E6"/>
    <w:multiLevelType w:val="hybridMultilevel"/>
    <w:tmpl w:val="DD825810"/>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D8B642A"/>
    <w:multiLevelType w:val="hybridMultilevel"/>
    <w:tmpl w:val="388806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DEB5A41"/>
    <w:multiLevelType w:val="hybridMultilevel"/>
    <w:tmpl w:val="7952E0B6"/>
    <w:lvl w:ilvl="0" w:tplc="00000006">
      <w:numFmt w:val="bullet"/>
      <w:lvlText w:val="-"/>
      <w:lvlJc w:val="left"/>
      <w:pPr>
        <w:ind w:left="720" w:hanging="360"/>
      </w:pPr>
      <w:rPr>
        <w:rFonts w:ascii="Arial" w:hAnsi="Arial" w:cs="Arial"/>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2E872932"/>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3DE7F25"/>
    <w:multiLevelType w:val="hybridMultilevel"/>
    <w:tmpl w:val="3A2E69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55D6684"/>
    <w:multiLevelType w:val="hybridMultilevel"/>
    <w:tmpl w:val="2230149C"/>
    <w:lvl w:ilvl="0" w:tplc="EBDE635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4" w15:restartNumberingAfterBreak="0">
    <w:nsid w:val="37527663"/>
    <w:multiLevelType w:val="hybridMultilevel"/>
    <w:tmpl w:val="12D031CC"/>
    <w:lvl w:ilvl="0" w:tplc="7F44ECF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5" w15:restartNumberingAfterBreak="0">
    <w:nsid w:val="395953AB"/>
    <w:multiLevelType w:val="hybridMultilevel"/>
    <w:tmpl w:val="F48C5B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D442050"/>
    <w:multiLevelType w:val="hybridMultilevel"/>
    <w:tmpl w:val="FD8A325E"/>
    <w:lvl w:ilvl="0" w:tplc="B1661114">
      <w:start w:val="1"/>
      <w:numFmt w:val="decimal"/>
      <w:lvlText w:val="%1.)"/>
      <w:lvlJc w:val="left"/>
      <w:pPr>
        <w:ind w:left="720" w:hanging="360"/>
      </w:pPr>
      <w:rPr>
        <w:rFonts w:hint="default"/>
        <w:b w:val="0"/>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04258E1"/>
    <w:multiLevelType w:val="hybridMultilevel"/>
    <w:tmpl w:val="F80EF990"/>
    <w:lvl w:ilvl="0" w:tplc="2FD8E828">
      <w:start w:val="1"/>
      <w:numFmt w:val="bullet"/>
      <w:lvlText w:val="-"/>
      <w:lvlJc w:val="left"/>
      <w:pPr>
        <w:ind w:left="2520" w:hanging="360"/>
      </w:pPr>
      <w:rPr>
        <w:rFonts w:ascii="Arial" w:eastAsia="Aptos" w:hAnsi="Arial" w:cs="Arial" w:hint="default"/>
      </w:rPr>
    </w:lvl>
    <w:lvl w:ilvl="1" w:tplc="040E0003">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28" w15:restartNumberingAfterBreak="0">
    <w:nsid w:val="418A7BE5"/>
    <w:multiLevelType w:val="hybridMultilevel"/>
    <w:tmpl w:val="83049C38"/>
    <w:lvl w:ilvl="0" w:tplc="61042ED8">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41AD4814"/>
    <w:multiLevelType w:val="hybridMultilevel"/>
    <w:tmpl w:val="CE12FD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2267D45"/>
    <w:multiLevelType w:val="hybridMultilevel"/>
    <w:tmpl w:val="691AA6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2FF7122"/>
    <w:multiLevelType w:val="hybridMultilevel"/>
    <w:tmpl w:val="DBBC4E78"/>
    <w:lvl w:ilvl="0" w:tplc="A06AAC3C">
      <w:start w:val="1"/>
      <w:numFmt w:val="decimal"/>
      <w:lvlText w:val="%1."/>
      <w:lvlJc w:val="left"/>
      <w:pPr>
        <w:ind w:left="720" w:hanging="360"/>
      </w:pPr>
      <w:rPr>
        <w:rFonts w:eastAsiaTheme="minorHAnsi" w:cs="Arial" w:hint="default"/>
        <w:b/>
        <w:bCs w:val="0"/>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43E034D5"/>
    <w:multiLevelType w:val="hybridMultilevel"/>
    <w:tmpl w:val="268419B4"/>
    <w:lvl w:ilvl="0" w:tplc="BF083CAC">
      <w:start w:val="1"/>
      <w:numFmt w:val="decimal"/>
      <w:lvlText w:val="%1.)"/>
      <w:lvlJc w:val="left"/>
      <w:pPr>
        <w:ind w:left="1854" w:hanging="360"/>
      </w:pPr>
      <w:rPr>
        <w:rFonts w:hint="default"/>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33" w15:restartNumberingAfterBreak="0">
    <w:nsid w:val="44B87D6A"/>
    <w:multiLevelType w:val="hybridMultilevel"/>
    <w:tmpl w:val="622C914C"/>
    <w:lvl w:ilvl="0" w:tplc="64184EEE">
      <w:start w:val="1"/>
      <w:numFmt w:val="decimal"/>
      <w:lvlText w:val="%1."/>
      <w:lvlJc w:val="left"/>
      <w:pPr>
        <w:ind w:left="1080" w:hanging="360"/>
      </w:pPr>
      <w:rPr>
        <w:rFonts w:eastAsiaTheme="minorHAnsi"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4"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5" w15:restartNumberingAfterBreak="0">
    <w:nsid w:val="49812DBB"/>
    <w:multiLevelType w:val="hybridMultilevel"/>
    <w:tmpl w:val="FF4A6966"/>
    <w:lvl w:ilvl="0" w:tplc="040E000F">
      <w:start w:val="1"/>
      <w:numFmt w:val="decimal"/>
      <w:lvlText w:val="%1."/>
      <w:lvlJc w:val="left"/>
      <w:pPr>
        <w:ind w:left="720" w:hanging="360"/>
      </w:pPr>
    </w:lvl>
    <w:lvl w:ilvl="1" w:tplc="F0E05314">
      <w:start w:val="1"/>
      <w:numFmt w:val="decimal"/>
      <w:lvlText w:val="%2."/>
      <w:lvlJc w:val="left"/>
      <w:pPr>
        <w:ind w:left="1440" w:hanging="360"/>
      </w:pPr>
      <w:rPr>
        <w:rFonts w:ascii="Arial" w:eastAsia="Times New Roman" w:hAnsi="Arial" w:cs="Arial"/>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4A9327F4"/>
    <w:multiLevelType w:val="hybridMultilevel"/>
    <w:tmpl w:val="878ED9DA"/>
    <w:lvl w:ilvl="0" w:tplc="040E000F">
      <w:start w:val="3"/>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8" w15:restartNumberingAfterBreak="0">
    <w:nsid w:val="51184EB5"/>
    <w:multiLevelType w:val="hybridMultilevel"/>
    <w:tmpl w:val="5FC2E918"/>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51DC242E"/>
    <w:multiLevelType w:val="hybridMultilevel"/>
    <w:tmpl w:val="592E97E8"/>
    <w:lvl w:ilvl="0" w:tplc="B70CCBF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0" w15:restartNumberingAfterBreak="0">
    <w:nsid w:val="5472729B"/>
    <w:multiLevelType w:val="hybridMultilevel"/>
    <w:tmpl w:val="92EE2096"/>
    <w:lvl w:ilvl="0" w:tplc="0FDA898C">
      <w:start w:val="7"/>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7010855"/>
    <w:multiLevelType w:val="hybridMultilevel"/>
    <w:tmpl w:val="953E1802"/>
    <w:lvl w:ilvl="0" w:tplc="89A884C4">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42" w15:restartNumberingAfterBreak="0">
    <w:nsid w:val="5C5A39B4"/>
    <w:multiLevelType w:val="hybridMultilevel"/>
    <w:tmpl w:val="73FADD64"/>
    <w:lvl w:ilvl="0" w:tplc="C3784ADE">
      <w:numFmt w:val="bullet"/>
      <w:lvlText w:val="-"/>
      <w:lvlJc w:val="left"/>
      <w:pPr>
        <w:ind w:left="928"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44" w15:restartNumberingAfterBreak="0">
    <w:nsid w:val="5CBD7DE8"/>
    <w:multiLevelType w:val="hybridMultilevel"/>
    <w:tmpl w:val="F24AC4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691F0511"/>
    <w:multiLevelType w:val="hybridMultilevel"/>
    <w:tmpl w:val="1510709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6" w15:restartNumberingAfterBreak="0">
    <w:nsid w:val="693B3A41"/>
    <w:multiLevelType w:val="hybridMultilevel"/>
    <w:tmpl w:val="03FE655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A5C0B99"/>
    <w:multiLevelType w:val="hybridMultilevel"/>
    <w:tmpl w:val="63649028"/>
    <w:lvl w:ilvl="0" w:tplc="D22428D4">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6D121E08"/>
    <w:multiLevelType w:val="hybridMultilevel"/>
    <w:tmpl w:val="26840EE4"/>
    <w:lvl w:ilvl="0" w:tplc="BF723234">
      <w:start w:val="1"/>
      <w:numFmt w:val="decimal"/>
      <w:lvlText w:val="%1.)"/>
      <w:lvlJc w:val="left"/>
      <w:pPr>
        <w:ind w:left="1072" w:hanging="360"/>
      </w:pPr>
      <w:rPr>
        <w:rFonts w:hint="default"/>
        <w:i w:val="0"/>
        <w:iCs w:val="0"/>
      </w:rPr>
    </w:lvl>
    <w:lvl w:ilvl="1" w:tplc="040E0019" w:tentative="1">
      <w:start w:val="1"/>
      <w:numFmt w:val="lowerLetter"/>
      <w:lvlText w:val="%2."/>
      <w:lvlJc w:val="left"/>
      <w:pPr>
        <w:ind w:left="1792" w:hanging="360"/>
      </w:pPr>
    </w:lvl>
    <w:lvl w:ilvl="2" w:tplc="040E001B" w:tentative="1">
      <w:start w:val="1"/>
      <w:numFmt w:val="lowerRoman"/>
      <w:lvlText w:val="%3."/>
      <w:lvlJc w:val="right"/>
      <w:pPr>
        <w:ind w:left="2512" w:hanging="180"/>
      </w:pPr>
    </w:lvl>
    <w:lvl w:ilvl="3" w:tplc="040E000F" w:tentative="1">
      <w:start w:val="1"/>
      <w:numFmt w:val="decimal"/>
      <w:lvlText w:val="%4."/>
      <w:lvlJc w:val="left"/>
      <w:pPr>
        <w:ind w:left="3232" w:hanging="360"/>
      </w:pPr>
    </w:lvl>
    <w:lvl w:ilvl="4" w:tplc="040E0019" w:tentative="1">
      <w:start w:val="1"/>
      <w:numFmt w:val="lowerLetter"/>
      <w:lvlText w:val="%5."/>
      <w:lvlJc w:val="left"/>
      <w:pPr>
        <w:ind w:left="3952" w:hanging="360"/>
      </w:pPr>
    </w:lvl>
    <w:lvl w:ilvl="5" w:tplc="040E001B" w:tentative="1">
      <w:start w:val="1"/>
      <w:numFmt w:val="lowerRoman"/>
      <w:lvlText w:val="%6."/>
      <w:lvlJc w:val="right"/>
      <w:pPr>
        <w:ind w:left="4672" w:hanging="180"/>
      </w:pPr>
    </w:lvl>
    <w:lvl w:ilvl="6" w:tplc="040E000F" w:tentative="1">
      <w:start w:val="1"/>
      <w:numFmt w:val="decimal"/>
      <w:lvlText w:val="%7."/>
      <w:lvlJc w:val="left"/>
      <w:pPr>
        <w:ind w:left="5392" w:hanging="360"/>
      </w:pPr>
    </w:lvl>
    <w:lvl w:ilvl="7" w:tplc="040E0019" w:tentative="1">
      <w:start w:val="1"/>
      <w:numFmt w:val="lowerLetter"/>
      <w:lvlText w:val="%8."/>
      <w:lvlJc w:val="left"/>
      <w:pPr>
        <w:ind w:left="6112" w:hanging="360"/>
      </w:pPr>
    </w:lvl>
    <w:lvl w:ilvl="8" w:tplc="040E001B" w:tentative="1">
      <w:start w:val="1"/>
      <w:numFmt w:val="lowerRoman"/>
      <w:lvlText w:val="%9."/>
      <w:lvlJc w:val="right"/>
      <w:pPr>
        <w:ind w:left="6832" w:hanging="180"/>
      </w:pPr>
    </w:lvl>
  </w:abstractNum>
  <w:abstractNum w:abstractNumId="49" w15:restartNumberingAfterBreak="0">
    <w:nsid w:val="6E601E44"/>
    <w:multiLevelType w:val="hybridMultilevel"/>
    <w:tmpl w:val="F78C7586"/>
    <w:lvl w:ilvl="0" w:tplc="040E000F">
      <w:start w:val="1"/>
      <w:numFmt w:val="decimal"/>
      <w:lvlText w:val="%1."/>
      <w:lvlJc w:val="left"/>
      <w:pPr>
        <w:tabs>
          <w:tab w:val="num" w:pos="360"/>
        </w:tabs>
        <w:ind w:left="360" w:hanging="360"/>
      </w:pPr>
    </w:lvl>
    <w:lvl w:ilvl="1" w:tplc="87D0C114">
      <w:start w:val="1"/>
      <w:numFmt w:val="bullet"/>
      <w:lvlText w:val=""/>
      <w:lvlJc w:val="left"/>
      <w:pPr>
        <w:tabs>
          <w:tab w:val="num" w:pos="1080"/>
        </w:tabs>
        <w:ind w:left="1080" w:hanging="360"/>
      </w:pPr>
      <w:rPr>
        <w:rFonts w:ascii="Symbol" w:hAnsi="Symbol" w:hint="default"/>
      </w:rPr>
    </w:lvl>
    <w:lvl w:ilvl="2" w:tplc="040E000F">
      <w:start w:val="1"/>
      <w:numFmt w:val="decimal"/>
      <w:lvlText w:val="%3."/>
      <w:lvlJc w:val="left"/>
      <w:pPr>
        <w:tabs>
          <w:tab w:val="num" w:pos="1980"/>
        </w:tabs>
        <w:ind w:left="1980" w:hanging="36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50" w15:restartNumberingAfterBreak="0">
    <w:nsid w:val="70D20068"/>
    <w:multiLevelType w:val="hybridMultilevel"/>
    <w:tmpl w:val="8C4A7E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746A4C9D"/>
    <w:multiLevelType w:val="hybridMultilevel"/>
    <w:tmpl w:val="AAC0F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6306072"/>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66D064E"/>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9D94E4C"/>
    <w:multiLevelType w:val="hybridMultilevel"/>
    <w:tmpl w:val="EEA0360E"/>
    <w:lvl w:ilvl="0" w:tplc="BF083CA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5" w15:restartNumberingAfterBreak="0">
    <w:nsid w:val="7A957C9C"/>
    <w:multiLevelType w:val="hybridMultilevel"/>
    <w:tmpl w:val="E06421E6"/>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30917442">
    <w:abstractNumId w:val="46"/>
  </w:num>
  <w:num w:numId="2" w16cid:durableId="932590407">
    <w:abstractNumId w:val="51"/>
  </w:num>
  <w:num w:numId="3" w16cid:durableId="1469779523">
    <w:abstractNumId w:val="19"/>
  </w:num>
  <w:num w:numId="4" w16cid:durableId="1727148376">
    <w:abstractNumId w:val="31"/>
  </w:num>
  <w:num w:numId="5" w16cid:durableId="989790583">
    <w:abstractNumId w:val="52"/>
  </w:num>
  <w:num w:numId="6" w16cid:durableId="1119686896">
    <w:abstractNumId w:val="47"/>
  </w:num>
  <w:num w:numId="7" w16cid:durableId="1425150617">
    <w:abstractNumId w:val="26"/>
  </w:num>
  <w:num w:numId="8" w16cid:durableId="1898279024">
    <w:abstractNumId w:val="6"/>
  </w:num>
  <w:num w:numId="9" w16cid:durableId="1036734201">
    <w:abstractNumId w:val="39"/>
  </w:num>
  <w:num w:numId="10" w16cid:durableId="1571885168">
    <w:abstractNumId w:val="7"/>
  </w:num>
  <w:num w:numId="11" w16cid:durableId="446772802">
    <w:abstractNumId w:val="3"/>
  </w:num>
  <w:num w:numId="12" w16cid:durableId="1350528852">
    <w:abstractNumId w:val="50"/>
  </w:num>
  <w:num w:numId="13" w16cid:durableId="2099206043">
    <w:abstractNumId w:val="34"/>
  </w:num>
  <w:num w:numId="14" w16cid:durableId="491682190">
    <w:abstractNumId w:val="43"/>
  </w:num>
  <w:num w:numId="15" w16cid:durableId="673803049">
    <w:abstractNumId w:val="30"/>
  </w:num>
  <w:num w:numId="16" w16cid:durableId="513498263">
    <w:abstractNumId w:val="44"/>
  </w:num>
  <w:num w:numId="17" w16cid:durableId="47002444">
    <w:abstractNumId w:val="40"/>
  </w:num>
  <w:num w:numId="18" w16cid:durableId="256643119">
    <w:abstractNumId w:val="15"/>
  </w:num>
  <w:num w:numId="19" w16cid:durableId="1123843471">
    <w:abstractNumId w:val="38"/>
  </w:num>
  <w:num w:numId="20" w16cid:durableId="1431924399">
    <w:abstractNumId w:val="25"/>
  </w:num>
  <w:num w:numId="21" w16cid:durableId="2127698981">
    <w:abstractNumId w:val="48"/>
  </w:num>
  <w:num w:numId="22" w16cid:durableId="105778764">
    <w:abstractNumId w:val="5"/>
  </w:num>
  <w:num w:numId="23" w16cid:durableId="462769744">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8102744">
    <w:abstractNumId w:val="23"/>
  </w:num>
  <w:num w:numId="25" w16cid:durableId="72819208">
    <w:abstractNumId w:val="41"/>
  </w:num>
  <w:num w:numId="26" w16cid:durableId="108641592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44567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1911413">
    <w:abstractNumId w:val="54"/>
  </w:num>
  <w:num w:numId="29" w16cid:durableId="2110926038">
    <w:abstractNumId w:val="32"/>
  </w:num>
  <w:num w:numId="30" w16cid:durableId="1212889486">
    <w:abstractNumId w:val="20"/>
  </w:num>
  <w:num w:numId="31" w16cid:durableId="433403653">
    <w:abstractNumId w:val="13"/>
  </w:num>
  <w:num w:numId="32" w16cid:durableId="1350374835">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5873976">
    <w:abstractNumId w:val="12"/>
  </w:num>
  <w:num w:numId="34" w16cid:durableId="1134451155">
    <w:abstractNumId w:val="53"/>
  </w:num>
  <w:num w:numId="35" w16cid:durableId="1830633797">
    <w:abstractNumId w:val="29"/>
  </w:num>
  <w:num w:numId="36" w16cid:durableId="649135764">
    <w:abstractNumId w:val="35"/>
  </w:num>
  <w:num w:numId="37" w16cid:durableId="386536247">
    <w:abstractNumId w:val="11"/>
  </w:num>
  <w:num w:numId="38" w16cid:durableId="1749187803">
    <w:abstractNumId w:val="2"/>
  </w:num>
  <w:num w:numId="39" w16cid:durableId="610472097">
    <w:abstractNumId w:val="14"/>
  </w:num>
  <w:num w:numId="40" w16cid:durableId="2034721287">
    <w:abstractNumId w:val="4"/>
  </w:num>
  <w:num w:numId="41" w16cid:durableId="1356617188">
    <w:abstractNumId w:val="55"/>
  </w:num>
  <w:num w:numId="42" w16cid:durableId="239564261">
    <w:abstractNumId w:val="17"/>
  </w:num>
  <w:num w:numId="43" w16cid:durableId="4570664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7761617">
    <w:abstractNumId w:val="27"/>
  </w:num>
  <w:num w:numId="45" w16cid:durableId="708073455">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5282725">
    <w:abstractNumId w:val="1"/>
  </w:num>
  <w:num w:numId="47" w16cid:durableId="1603344274">
    <w:abstractNumId w:val="9"/>
  </w:num>
  <w:num w:numId="48" w16cid:durableId="1783451574">
    <w:abstractNumId w:val="0"/>
  </w:num>
  <w:num w:numId="49" w16cid:durableId="1947618266">
    <w:abstractNumId w:val="8"/>
  </w:num>
  <w:num w:numId="50" w16cid:durableId="21514343">
    <w:abstractNumId w:val="45"/>
  </w:num>
  <w:num w:numId="51" w16cid:durableId="1510410924">
    <w:abstractNumId w:val="10"/>
  </w:num>
  <w:num w:numId="52" w16cid:durableId="249193436">
    <w:abstractNumId w:val="22"/>
  </w:num>
  <w:num w:numId="53" w16cid:durableId="1968005487">
    <w:abstractNumId w:val="18"/>
  </w:num>
  <w:num w:numId="54" w16cid:durableId="2114935483">
    <w:abstractNumId w:val="24"/>
  </w:num>
  <w:num w:numId="55" w16cid:durableId="1806845987">
    <w:abstractNumId w:val="33"/>
  </w:num>
  <w:num w:numId="56" w16cid:durableId="1084180302">
    <w:abstractNumId w:val="28"/>
  </w:num>
  <w:num w:numId="57" w16cid:durableId="19127395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105265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0D04"/>
    <w:rsid w:val="000D7465"/>
    <w:rsid w:val="000E5E86"/>
    <w:rsid w:val="000F3877"/>
    <w:rsid w:val="000F7555"/>
    <w:rsid w:val="00106828"/>
    <w:rsid w:val="00111375"/>
    <w:rsid w:val="00117EBA"/>
    <w:rsid w:val="00120576"/>
    <w:rsid w:val="00130C88"/>
    <w:rsid w:val="0014409D"/>
    <w:rsid w:val="00146352"/>
    <w:rsid w:val="0015055A"/>
    <w:rsid w:val="0015074C"/>
    <w:rsid w:val="00154C8C"/>
    <w:rsid w:val="00157B94"/>
    <w:rsid w:val="00164D9F"/>
    <w:rsid w:val="001759D1"/>
    <w:rsid w:val="001775CB"/>
    <w:rsid w:val="00195DF7"/>
    <w:rsid w:val="001A5445"/>
    <w:rsid w:val="001C015A"/>
    <w:rsid w:val="001C0811"/>
    <w:rsid w:val="001D17F6"/>
    <w:rsid w:val="001E1829"/>
    <w:rsid w:val="001E518C"/>
    <w:rsid w:val="00204823"/>
    <w:rsid w:val="0020560A"/>
    <w:rsid w:val="00214BA5"/>
    <w:rsid w:val="00225DE2"/>
    <w:rsid w:val="0023150C"/>
    <w:rsid w:val="00233475"/>
    <w:rsid w:val="00237270"/>
    <w:rsid w:val="00243B69"/>
    <w:rsid w:val="00261FD7"/>
    <w:rsid w:val="002655E5"/>
    <w:rsid w:val="00275889"/>
    <w:rsid w:val="0029013E"/>
    <w:rsid w:val="002A1FD9"/>
    <w:rsid w:val="002D2329"/>
    <w:rsid w:val="002D69F5"/>
    <w:rsid w:val="002E7BA6"/>
    <w:rsid w:val="002F505B"/>
    <w:rsid w:val="00314A9F"/>
    <w:rsid w:val="0033363C"/>
    <w:rsid w:val="0034201D"/>
    <w:rsid w:val="00366FDB"/>
    <w:rsid w:val="0038264F"/>
    <w:rsid w:val="00391727"/>
    <w:rsid w:val="003B0232"/>
    <w:rsid w:val="003C37AF"/>
    <w:rsid w:val="003D14E2"/>
    <w:rsid w:val="003D2CC2"/>
    <w:rsid w:val="003D69EE"/>
    <w:rsid w:val="003E2631"/>
    <w:rsid w:val="003E745E"/>
    <w:rsid w:val="004013DD"/>
    <w:rsid w:val="004024E9"/>
    <w:rsid w:val="00412945"/>
    <w:rsid w:val="00412A33"/>
    <w:rsid w:val="0041686E"/>
    <w:rsid w:val="004316B7"/>
    <w:rsid w:val="00443D62"/>
    <w:rsid w:val="00454023"/>
    <w:rsid w:val="00460D64"/>
    <w:rsid w:val="004615AE"/>
    <w:rsid w:val="00463766"/>
    <w:rsid w:val="00472B4A"/>
    <w:rsid w:val="00474A43"/>
    <w:rsid w:val="00475D87"/>
    <w:rsid w:val="00483209"/>
    <w:rsid w:val="0048675E"/>
    <w:rsid w:val="00491C0D"/>
    <w:rsid w:val="00495B98"/>
    <w:rsid w:val="004A6DCE"/>
    <w:rsid w:val="004A7563"/>
    <w:rsid w:val="004B29DE"/>
    <w:rsid w:val="004C17AA"/>
    <w:rsid w:val="004C2ACE"/>
    <w:rsid w:val="004C60CB"/>
    <w:rsid w:val="004D4F4D"/>
    <w:rsid w:val="004E132A"/>
    <w:rsid w:val="004E3C44"/>
    <w:rsid w:val="004F2DBC"/>
    <w:rsid w:val="00502BA4"/>
    <w:rsid w:val="00520342"/>
    <w:rsid w:val="005216A1"/>
    <w:rsid w:val="005271FD"/>
    <w:rsid w:val="005315C9"/>
    <w:rsid w:val="00550EAE"/>
    <w:rsid w:val="00560109"/>
    <w:rsid w:val="00562A76"/>
    <w:rsid w:val="00565773"/>
    <w:rsid w:val="00573323"/>
    <w:rsid w:val="00574777"/>
    <w:rsid w:val="00583A7E"/>
    <w:rsid w:val="00591942"/>
    <w:rsid w:val="005B6B0C"/>
    <w:rsid w:val="005C397F"/>
    <w:rsid w:val="005D0898"/>
    <w:rsid w:val="005D1739"/>
    <w:rsid w:val="005E60BC"/>
    <w:rsid w:val="005F4C4B"/>
    <w:rsid w:val="006026DA"/>
    <w:rsid w:val="00616193"/>
    <w:rsid w:val="0062510B"/>
    <w:rsid w:val="00630854"/>
    <w:rsid w:val="00630F06"/>
    <w:rsid w:val="00631579"/>
    <w:rsid w:val="006350AC"/>
    <w:rsid w:val="00637C61"/>
    <w:rsid w:val="00640454"/>
    <w:rsid w:val="00645E1A"/>
    <w:rsid w:val="006608CA"/>
    <w:rsid w:val="006671AD"/>
    <w:rsid w:val="0066739F"/>
    <w:rsid w:val="00675DCE"/>
    <w:rsid w:val="00696104"/>
    <w:rsid w:val="006A3A43"/>
    <w:rsid w:val="006B31CA"/>
    <w:rsid w:val="006C056E"/>
    <w:rsid w:val="006C44F5"/>
    <w:rsid w:val="006D067F"/>
    <w:rsid w:val="006E4A45"/>
    <w:rsid w:val="007077A1"/>
    <w:rsid w:val="00707CFE"/>
    <w:rsid w:val="0071127C"/>
    <w:rsid w:val="00713526"/>
    <w:rsid w:val="00743855"/>
    <w:rsid w:val="007606A2"/>
    <w:rsid w:val="007656DF"/>
    <w:rsid w:val="00765B9B"/>
    <w:rsid w:val="007718D7"/>
    <w:rsid w:val="0077353E"/>
    <w:rsid w:val="007B3481"/>
    <w:rsid w:val="007D723B"/>
    <w:rsid w:val="007F4DCC"/>
    <w:rsid w:val="0080638F"/>
    <w:rsid w:val="00807E15"/>
    <w:rsid w:val="0081091D"/>
    <w:rsid w:val="008131A2"/>
    <w:rsid w:val="00825B57"/>
    <w:rsid w:val="00827488"/>
    <w:rsid w:val="00833B42"/>
    <w:rsid w:val="00835D6F"/>
    <w:rsid w:val="0085016E"/>
    <w:rsid w:val="008507D5"/>
    <w:rsid w:val="008574F8"/>
    <w:rsid w:val="00857B10"/>
    <w:rsid w:val="0086114D"/>
    <w:rsid w:val="00861211"/>
    <w:rsid w:val="008613D1"/>
    <w:rsid w:val="008777B1"/>
    <w:rsid w:val="008804FA"/>
    <w:rsid w:val="00886815"/>
    <w:rsid w:val="0089191B"/>
    <w:rsid w:val="00892A3F"/>
    <w:rsid w:val="008B5054"/>
    <w:rsid w:val="008B7A6F"/>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73C51"/>
    <w:rsid w:val="009A4C2B"/>
    <w:rsid w:val="009A64F7"/>
    <w:rsid w:val="009A70FE"/>
    <w:rsid w:val="009B7E7E"/>
    <w:rsid w:val="009C1DA5"/>
    <w:rsid w:val="009D30D2"/>
    <w:rsid w:val="009E1938"/>
    <w:rsid w:val="009F2905"/>
    <w:rsid w:val="00A10163"/>
    <w:rsid w:val="00A1028E"/>
    <w:rsid w:val="00A10C12"/>
    <w:rsid w:val="00A215C4"/>
    <w:rsid w:val="00A30161"/>
    <w:rsid w:val="00A36720"/>
    <w:rsid w:val="00A457F4"/>
    <w:rsid w:val="00A4599E"/>
    <w:rsid w:val="00A62D49"/>
    <w:rsid w:val="00A65C8A"/>
    <w:rsid w:val="00A72244"/>
    <w:rsid w:val="00AA1941"/>
    <w:rsid w:val="00AC625C"/>
    <w:rsid w:val="00AF0B35"/>
    <w:rsid w:val="00B03DE6"/>
    <w:rsid w:val="00B12E12"/>
    <w:rsid w:val="00B2309B"/>
    <w:rsid w:val="00B2493D"/>
    <w:rsid w:val="00B33397"/>
    <w:rsid w:val="00B35BFC"/>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7ED2"/>
    <w:rsid w:val="00BD27B5"/>
    <w:rsid w:val="00BD5EDB"/>
    <w:rsid w:val="00BD65EA"/>
    <w:rsid w:val="00BE521B"/>
    <w:rsid w:val="00BF77D0"/>
    <w:rsid w:val="00C013E0"/>
    <w:rsid w:val="00C03F9A"/>
    <w:rsid w:val="00C0667E"/>
    <w:rsid w:val="00C32F0F"/>
    <w:rsid w:val="00C4497A"/>
    <w:rsid w:val="00C47C4B"/>
    <w:rsid w:val="00C5317A"/>
    <w:rsid w:val="00C61D4F"/>
    <w:rsid w:val="00C62D3F"/>
    <w:rsid w:val="00C77D03"/>
    <w:rsid w:val="00C94BB0"/>
    <w:rsid w:val="00CA4066"/>
    <w:rsid w:val="00CA5B59"/>
    <w:rsid w:val="00CA7718"/>
    <w:rsid w:val="00CC26EB"/>
    <w:rsid w:val="00CC3D56"/>
    <w:rsid w:val="00CD02A6"/>
    <w:rsid w:val="00CE11A6"/>
    <w:rsid w:val="00CE12E7"/>
    <w:rsid w:val="00D02BED"/>
    <w:rsid w:val="00D21551"/>
    <w:rsid w:val="00D218E1"/>
    <w:rsid w:val="00D26471"/>
    <w:rsid w:val="00D33E59"/>
    <w:rsid w:val="00D35C19"/>
    <w:rsid w:val="00D47D2C"/>
    <w:rsid w:val="00D54ACE"/>
    <w:rsid w:val="00D649B6"/>
    <w:rsid w:val="00D65E9B"/>
    <w:rsid w:val="00D9099D"/>
    <w:rsid w:val="00D914F4"/>
    <w:rsid w:val="00D925CD"/>
    <w:rsid w:val="00D93203"/>
    <w:rsid w:val="00DC1B57"/>
    <w:rsid w:val="00DC5F3A"/>
    <w:rsid w:val="00DE4D55"/>
    <w:rsid w:val="00DF412D"/>
    <w:rsid w:val="00E032C8"/>
    <w:rsid w:val="00E17B17"/>
    <w:rsid w:val="00E23DE7"/>
    <w:rsid w:val="00E33475"/>
    <w:rsid w:val="00E35025"/>
    <w:rsid w:val="00E437A3"/>
    <w:rsid w:val="00E4642C"/>
    <w:rsid w:val="00E60FB1"/>
    <w:rsid w:val="00E77078"/>
    <w:rsid w:val="00E80520"/>
    <w:rsid w:val="00E86A9C"/>
    <w:rsid w:val="00E86D33"/>
    <w:rsid w:val="00E95DC1"/>
    <w:rsid w:val="00ED77E0"/>
    <w:rsid w:val="00EE1CB3"/>
    <w:rsid w:val="00EE3299"/>
    <w:rsid w:val="00EE4791"/>
    <w:rsid w:val="00EE7126"/>
    <w:rsid w:val="00EF49A0"/>
    <w:rsid w:val="00F05D33"/>
    <w:rsid w:val="00F17EC0"/>
    <w:rsid w:val="00F3397C"/>
    <w:rsid w:val="00F35B09"/>
    <w:rsid w:val="00F40F5C"/>
    <w:rsid w:val="00F54AEF"/>
    <w:rsid w:val="00F57DF1"/>
    <w:rsid w:val="00F63B34"/>
    <w:rsid w:val="00F64919"/>
    <w:rsid w:val="00F70482"/>
    <w:rsid w:val="00F7469C"/>
    <w:rsid w:val="00F75E02"/>
    <w:rsid w:val="00F90EE5"/>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table" w:styleId="Rcsostblzat">
    <w:name w:val="Table Grid"/>
    <w:basedOn w:val="Normltblzat"/>
    <w:uiPriority w:val="39"/>
    <w:rsid w:val="00675DCE"/>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2072</Words>
  <Characters>14304</Characters>
  <Application>Microsoft Office Word</Application>
  <DocSecurity>0</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2</cp:revision>
  <cp:lastPrinted>2026-03-09T07:37:00Z</cp:lastPrinted>
  <dcterms:created xsi:type="dcterms:W3CDTF">2026-03-31T09:10:00Z</dcterms:created>
  <dcterms:modified xsi:type="dcterms:W3CDTF">2026-03-31T09:10:00Z</dcterms:modified>
</cp:coreProperties>
</file>