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C20B7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37466C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66B016A5" w14:textId="77777777" w:rsidR="0037466C" w:rsidRPr="0037466C" w:rsidRDefault="0037466C" w:rsidP="0037466C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C61B60D" w14:textId="77777777" w:rsidR="0037466C" w:rsidRPr="0037466C" w:rsidRDefault="0037466C" w:rsidP="0037466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37466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1B91B8BD" w14:textId="77777777" w:rsidR="0037466C" w:rsidRPr="0037466C" w:rsidRDefault="0037466C" w:rsidP="0037466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37466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068DDFD" w14:textId="77777777" w:rsidR="0037466C" w:rsidRPr="0037466C" w:rsidRDefault="0037466C" w:rsidP="0037466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37466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39/2025. (V.29.) határozata</w:t>
      </w:r>
    </w:p>
    <w:p w14:paraId="1218F6A6" w14:textId="77777777" w:rsidR="0037466C" w:rsidRPr="0037466C" w:rsidRDefault="0037466C" w:rsidP="0037466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</w:p>
    <w:p w14:paraId="62BAF992" w14:textId="77777777" w:rsidR="0037466C" w:rsidRPr="0037466C" w:rsidRDefault="0037466C" w:rsidP="0037466C">
      <w:pPr>
        <w:spacing w:after="0" w:line="240" w:lineRule="auto"/>
        <w:jc w:val="center"/>
        <w:rPr>
          <w:rFonts w:ascii="Arial" w:eastAsia="Calibri" w:hAnsi="Arial" w:cs="Arial"/>
          <w:bCs/>
          <w:kern w:val="0"/>
          <w14:ligatures w14:val="none"/>
        </w:rPr>
      </w:pPr>
      <w:bookmarkStart w:id="0" w:name="_Hlk199496064"/>
      <w:r w:rsidRPr="0037466C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2024. évi költségvetésének végrehajtásáról</w:t>
      </w:r>
      <w:bookmarkEnd w:id="0"/>
    </w:p>
    <w:p w14:paraId="3A0549E1" w14:textId="77777777" w:rsidR="0037466C" w:rsidRPr="0037466C" w:rsidRDefault="0037466C" w:rsidP="0037466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77F00F88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 xml:space="preserve">A </w:t>
      </w:r>
      <w:bookmarkStart w:id="1" w:name="_Hlk480286210"/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 xml:space="preserve">Móri Többcélú Kistérségi Társulás </w:t>
      </w:r>
      <w:bookmarkEnd w:id="1"/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>Társulási Tanácsa az államháztartásról szóló 2011. évi CXCV. törvény 91. §-</w:t>
      </w:r>
      <w:proofErr w:type="spellStart"/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 xml:space="preserve"> kapott felhatalmazás alapján a következő határozatot hozza:</w:t>
      </w:r>
    </w:p>
    <w:p w14:paraId="4F90C998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092A95C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Calibri" w:hAnsi="Arial" w:cs="Arial"/>
          <w:kern w:val="0"/>
          <w:sz w:val="28"/>
          <w14:ligatures w14:val="none"/>
        </w:rPr>
      </w:pPr>
      <w:r w:rsidRPr="0037466C">
        <w:rPr>
          <w:rFonts w:ascii="Arial" w:eastAsia="Calibri" w:hAnsi="Arial" w:cs="Arial"/>
          <w:b/>
          <w:kern w:val="0"/>
          <w14:ligatures w14:val="none"/>
        </w:rPr>
        <w:t>1. §</w:t>
      </w:r>
      <w:r w:rsidRPr="0037466C">
        <w:rPr>
          <w:rFonts w:ascii="Arial" w:eastAsia="Calibri" w:hAnsi="Arial" w:cs="Arial"/>
          <w:kern w:val="0"/>
          <w14:ligatures w14:val="none"/>
        </w:rPr>
        <w:t xml:space="preserve"> (1) A Társulási Tanács – a 2024. december 31-ei állapotnak megfelelően az időközben szükségessé vált költségvetési kapcsolatokból származó források előirányzat változásait tudomásul véve - a </w:t>
      </w:r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>Móri Többcélú Kistérségi Társulás (a továbbiakban: társulás)</w:t>
      </w:r>
      <w:r w:rsidRPr="0037466C">
        <w:rPr>
          <w:rFonts w:ascii="Arial" w:eastAsia="Calibri" w:hAnsi="Arial" w:cs="Arial"/>
          <w:kern w:val="0"/>
          <w14:ligatures w14:val="none"/>
        </w:rPr>
        <w:t xml:space="preserve"> 2024. évi költségvetésének módosított előirányzatát és teljesítési főösszegét kiemelt előirányzatonként az alábbiakkal hagyta jóvá.</w:t>
      </w:r>
    </w:p>
    <w:p w14:paraId="1577D96F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1DD34D8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37466C">
        <w:rPr>
          <w:rFonts w:ascii="Arial" w:eastAsia="Calibri" w:hAnsi="Arial" w:cs="Arial"/>
          <w:kern w:val="0"/>
          <w14:ligatures w14:val="none"/>
        </w:rPr>
        <w:t>(2) A Társulási Tanács a 2024. évi költségvetés végrehajtásáról szóló zárszámadást</w:t>
      </w:r>
    </w:p>
    <w:p w14:paraId="0E410652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37466C">
        <w:rPr>
          <w:rFonts w:ascii="Times New Roman" w:eastAsia="Times New Roman" w:hAnsi="Times New Roman" w:cs="Times New Roman"/>
          <w:noProof/>
          <w:kern w:val="0"/>
          <w:lang w:eastAsia="hu-HU"/>
          <w14:ligatures w14:val="none"/>
        </w:rPr>
        <w:drawing>
          <wp:inline distT="0" distB="0" distL="0" distR="0" wp14:anchorId="22FD026F" wp14:editId="5F5322E8">
            <wp:extent cx="5762625" cy="1752600"/>
            <wp:effectExtent l="0" t="0" r="0" b="0"/>
            <wp:docPr id="188002725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C2A53" w14:textId="77777777" w:rsidR="0037466C" w:rsidRPr="0037466C" w:rsidRDefault="0037466C" w:rsidP="0037466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37466C">
        <w:rPr>
          <w:rFonts w:ascii="Arial" w:eastAsia="Calibri" w:hAnsi="Arial" w:cs="Arial"/>
          <w:kern w:val="0"/>
          <w14:ligatures w14:val="none"/>
        </w:rPr>
        <w:t xml:space="preserve">(3) </w:t>
      </w:r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>A (2) bekezdésben megállapított költségvetési bevételeket és költségvetési kiadásokat előirányzat-csoportok, azon belül kiemelt előirányzatok szerinti bontásban társulási szinten, továbbá a finanszírozási célú műveletek bevételeit és kiadásait, valamint mindezek 2024. évi végrehajtását az 1. melléklet szerint hagyta jóvá a Tanács.</w:t>
      </w:r>
    </w:p>
    <w:p w14:paraId="5510B2FE" w14:textId="77777777" w:rsidR="0037466C" w:rsidRPr="0037466C" w:rsidRDefault="0037466C" w:rsidP="0037466C">
      <w:p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CAF8DAA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>(4) A társulás, a Meseház Óvoda-Bölcsőde, a Móri Többcélú Kistérségi Társulás Hajléktalanok Átmeneti Szállása, valamint a Szociális Alapszolgáltatási Központ költségvetési bevételeit és költségvetési kiadásait költségvetési szervenként előirányzat-csoportok, azon belül kiemelt előirányzatok, valamint kötelező, önként vállalt és államigazgatási feladatok szerinti bontásban, továbbá mindezek 2024. évi végrehajtását a 2-5. melléklet részletezi.</w:t>
      </w:r>
    </w:p>
    <w:p w14:paraId="75DAB953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304AE0B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37466C">
        <w:rPr>
          <w:rFonts w:ascii="Arial" w:eastAsia="Calibri" w:hAnsi="Arial" w:cs="Arial"/>
          <w:kern w:val="0"/>
          <w14:ligatures w14:val="none"/>
        </w:rPr>
        <w:t xml:space="preserve">(5) A társulás </w:t>
      </w:r>
      <w:proofErr w:type="spellStart"/>
      <w:r w:rsidRPr="0037466C">
        <w:rPr>
          <w:rFonts w:ascii="Arial" w:eastAsia="Calibri" w:hAnsi="Arial" w:cs="Arial"/>
          <w:kern w:val="0"/>
          <w14:ligatures w14:val="none"/>
        </w:rPr>
        <w:t>tartalékait</w:t>
      </w:r>
      <w:proofErr w:type="spellEnd"/>
      <w:r w:rsidRPr="0037466C">
        <w:rPr>
          <w:rFonts w:ascii="Arial" w:eastAsia="Calibri" w:hAnsi="Arial" w:cs="Arial"/>
          <w:kern w:val="0"/>
          <w14:ligatures w14:val="none"/>
        </w:rPr>
        <w:t xml:space="preserve"> a 6. melléklet részletezi.</w:t>
      </w:r>
    </w:p>
    <w:p w14:paraId="4595D6CE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05E6B83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37466C">
        <w:rPr>
          <w:rFonts w:ascii="Arial" w:eastAsia="Calibri" w:hAnsi="Arial" w:cs="Arial"/>
          <w:kern w:val="0"/>
          <w14:ligatures w14:val="none"/>
        </w:rPr>
        <w:t>(6)</w:t>
      </w:r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társulás 2024. évi felhalmozási költségvetését és annak finanszírozását a 2024. december 31-i állapotnak megfelelően kiemelt előirányzatok, azon belül kormányzati funkció, feladat bontásban, elkülönítetten az európai uniós forrásból finanszírozott támogatással megvalósuló programok, projektek kiadásait, valamint a társulás ilyen projekthez történő hozzájárulását a 7. melléklet részletezi.</w:t>
      </w:r>
    </w:p>
    <w:p w14:paraId="614F4FCA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AB4D1FF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>(7) A Tanács a 2024. december 31-i állapotnak megfelelően a társulás fenntartásában lévő költségvetési szervek 2024. évben engedélyezett létszámát összesen 107,25 főben a 8. melléklet szerint állapítja meg.</w:t>
      </w:r>
    </w:p>
    <w:p w14:paraId="45E906C4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7B572F5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37466C">
        <w:rPr>
          <w:rFonts w:ascii="Arial" w:eastAsia="Calibri" w:hAnsi="Arial" w:cs="Arial"/>
          <w:bCs/>
          <w:kern w:val="0"/>
          <w14:ligatures w14:val="none"/>
        </w:rPr>
        <w:t xml:space="preserve">(8) </w:t>
      </w:r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>A társulás adósságot keletkeztető ügyletekből és kezességvállalásokból fennálló kötelezettségeit a 9. melléklet részletezi.</w:t>
      </w:r>
    </w:p>
    <w:p w14:paraId="2707EE1B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646581F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37466C">
        <w:rPr>
          <w:rFonts w:ascii="Arial" w:eastAsia="Times New Roman" w:hAnsi="Arial" w:cs="Arial"/>
          <w:kern w:val="0"/>
          <w:lang w:eastAsia="hu-HU"/>
          <w14:ligatures w14:val="none"/>
        </w:rPr>
        <w:t>(9) A társulás saját bevételeinek részletezését az adósságot keletkeztető ügyletből származó tárgyévi fizetési kötelezettség megállapításához a 10. melléklet tartalmazza.</w:t>
      </w:r>
    </w:p>
    <w:p w14:paraId="03AFA70F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04A89F6D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37466C">
        <w:rPr>
          <w:rFonts w:ascii="Arial" w:eastAsia="Calibri" w:hAnsi="Arial" w:cs="Arial"/>
          <w:kern w:val="0"/>
          <w14:ligatures w14:val="none"/>
        </w:rPr>
        <w:t>(10) A 2024. évi költségvetési maradvány elszámolását a 11. melléklet szerint fogadja el a Tanács.</w:t>
      </w:r>
    </w:p>
    <w:p w14:paraId="53F8DC2F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D23CAC6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37466C">
        <w:rPr>
          <w:rFonts w:ascii="Arial" w:eastAsia="Calibri" w:hAnsi="Arial" w:cs="Arial"/>
          <w:kern w:val="0"/>
          <w14:ligatures w14:val="none"/>
        </w:rPr>
        <w:t>(11) A társulás 2024. évi vagyonkimutatását a 12. melléklet részletezi.</w:t>
      </w:r>
    </w:p>
    <w:p w14:paraId="3126BD49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6386B91" w14:textId="77777777" w:rsidR="0037466C" w:rsidRPr="0037466C" w:rsidRDefault="0037466C" w:rsidP="0037466C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37466C">
        <w:rPr>
          <w:rFonts w:ascii="Arial" w:eastAsia="Calibri" w:hAnsi="Arial" w:cs="Arial"/>
          <w:kern w:val="0"/>
          <w14:ligatures w14:val="none"/>
        </w:rPr>
        <w:t>(12) A társulás konszolidált mérlegét és konszolidált eredménykimutatását a 13-14. melléklet szerint hagyta jóvá a Tanács.</w:t>
      </w:r>
    </w:p>
    <w:p w14:paraId="2D836F8C" w14:textId="77777777" w:rsidR="0037466C" w:rsidRPr="0037466C" w:rsidRDefault="0037466C" w:rsidP="0037466C">
      <w:pPr>
        <w:spacing w:after="0" w:line="240" w:lineRule="auto"/>
        <w:rPr>
          <w:rFonts w:ascii="Arial" w:eastAsia="Calibri" w:hAnsi="Arial" w:cs="Arial"/>
          <w:b/>
          <w:kern w:val="0"/>
          <w14:ligatures w14:val="none"/>
        </w:rPr>
      </w:pPr>
    </w:p>
    <w:p w14:paraId="265B077B" w14:textId="77777777" w:rsidR="0037466C" w:rsidRPr="0037466C" w:rsidRDefault="0037466C" w:rsidP="0037466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37466C">
        <w:rPr>
          <w:rFonts w:ascii="Arial" w:eastAsia="Calibri" w:hAnsi="Arial" w:cs="Arial"/>
          <w:b/>
          <w:kern w:val="0"/>
          <w14:ligatures w14:val="none"/>
        </w:rPr>
        <w:t>2. §</w:t>
      </w:r>
      <w:r w:rsidRPr="0037466C">
        <w:rPr>
          <w:rFonts w:ascii="Arial" w:eastAsia="Calibri" w:hAnsi="Arial" w:cs="Arial"/>
          <w:kern w:val="0"/>
          <w14:ligatures w14:val="none"/>
        </w:rPr>
        <w:t xml:space="preserve"> Ez a határozat 2025. május 30. napján lép hatályba. </w:t>
      </w:r>
    </w:p>
    <w:p w14:paraId="0D3AC750" w14:textId="77777777" w:rsidR="0037466C" w:rsidRPr="0037466C" w:rsidRDefault="0037466C" w:rsidP="0037466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5B63BB9" w14:textId="77777777" w:rsidR="00CD6CB3" w:rsidRPr="00CD6CB3" w:rsidRDefault="00CD6CB3" w:rsidP="00CD6CB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BFECDD" w14:textId="77777777" w:rsidR="00B74BE4" w:rsidRPr="00CD6CB3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D6CB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37466C">
      <w:pgSz w:w="11906" w:h="16838"/>
      <w:pgMar w:top="102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2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1"/>
  </w:num>
  <w:num w:numId="11" w16cid:durableId="2070152757">
    <w:abstractNumId w:val="7"/>
  </w:num>
  <w:num w:numId="12" w16cid:durableId="826241402">
    <w:abstractNumId w:val="6"/>
  </w:num>
  <w:num w:numId="13" w16cid:durableId="1261446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7466C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03B8D"/>
    <w:rsid w:val="00781353"/>
    <w:rsid w:val="00785F50"/>
    <w:rsid w:val="007E5710"/>
    <w:rsid w:val="007E7A55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D6CB3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cp:lastPrinted>2025-06-10T06:25:00Z</cp:lastPrinted>
  <dcterms:created xsi:type="dcterms:W3CDTF">2025-06-10T06:27:00Z</dcterms:created>
  <dcterms:modified xsi:type="dcterms:W3CDTF">2025-06-10T06:27:00Z</dcterms:modified>
</cp:coreProperties>
</file>