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AA13F" w14:textId="77777777" w:rsidR="00D741C5" w:rsidRPr="00D741C5" w:rsidRDefault="00D741C5" w:rsidP="00D741C5">
      <w:pPr>
        <w:jc w:val="center"/>
        <w:rPr>
          <w:rFonts w:ascii="Arial" w:eastAsia="Noto Serif CJK SC" w:hAnsi="Arial" w:cs="Arial"/>
          <w:b/>
          <w:bCs/>
        </w:rPr>
      </w:pPr>
      <w:r w:rsidRPr="00D741C5">
        <w:rPr>
          <w:rFonts w:ascii="Arial" w:eastAsia="Noto Serif CJK SC" w:hAnsi="Arial" w:cs="Arial"/>
          <w:b/>
          <w:bCs/>
        </w:rPr>
        <w:t>Mór Városi Önkormányzat Képviselő-testületének</w:t>
      </w:r>
      <w:r w:rsidRPr="00D741C5">
        <w:rPr>
          <w:rFonts w:ascii="Arial" w:eastAsia="Noto Serif CJK SC" w:hAnsi="Arial" w:cs="Arial"/>
          <w:b/>
          <w:bCs/>
        </w:rPr>
        <w:br/>
        <w:t>27/2026. (X.5.) önkormányzati rendelete</w:t>
      </w:r>
    </w:p>
    <w:p w14:paraId="7288D6A2" w14:textId="77777777" w:rsidR="00D741C5" w:rsidRPr="00D741C5" w:rsidRDefault="00D741C5" w:rsidP="00D741C5">
      <w:pPr>
        <w:jc w:val="center"/>
        <w:rPr>
          <w:rFonts w:ascii="Arial" w:eastAsia="Noto Serif CJK SC" w:hAnsi="Arial" w:cs="Arial"/>
          <w:b/>
          <w:bCs/>
        </w:rPr>
      </w:pPr>
      <w:r w:rsidRPr="00D741C5">
        <w:rPr>
          <w:rFonts w:ascii="Arial" w:eastAsia="Noto Serif CJK SC" w:hAnsi="Arial" w:cs="Arial"/>
          <w:b/>
          <w:bCs/>
        </w:rPr>
        <w:t>a távhőszolgáltatásról, a távhőszolgáltatási díjak megállapításáról és a díjalkalmazás feltételeiről szóló 18/2017. (V. 3.) önkormányzati rendelet módosításáról</w:t>
      </w:r>
    </w:p>
    <w:p w14:paraId="069F0283" w14:textId="77777777" w:rsidR="00D741C5" w:rsidRPr="00D741C5" w:rsidRDefault="00D741C5" w:rsidP="00D741C5">
      <w:pPr>
        <w:rPr>
          <w:rFonts w:ascii="Arial" w:eastAsia="Noto Serif CJK SC" w:hAnsi="Arial" w:cs="Arial"/>
          <w:b/>
          <w:bCs/>
        </w:rPr>
      </w:pPr>
    </w:p>
    <w:p w14:paraId="1D30003B" w14:textId="77777777" w:rsidR="00D741C5" w:rsidRPr="00D741C5" w:rsidRDefault="00D741C5" w:rsidP="00D741C5">
      <w:pPr>
        <w:jc w:val="both"/>
        <w:rPr>
          <w:rFonts w:ascii="Arial" w:eastAsia="Aptos" w:hAnsi="Arial" w:cs="Arial"/>
          <w:lang w:eastAsia="en-US" w:bidi="ar-SA"/>
          <w14:ligatures w14:val="standardContextual"/>
        </w:rPr>
      </w:pPr>
      <w:r w:rsidRPr="00D741C5">
        <w:rPr>
          <w:rFonts w:ascii="Arial" w:eastAsia="Noto Serif CJK SC" w:hAnsi="Arial" w:cs="Arial"/>
        </w:rPr>
        <w:t xml:space="preserve">[1] E rendelet célja </w:t>
      </w:r>
      <w:r w:rsidRPr="00D741C5">
        <w:rPr>
          <w:rFonts w:ascii="Arial" w:eastAsia="Aptos" w:hAnsi="Arial" w:cs="Arial"/>
          <w:lang w:eastAsia="en-US" w:bidi="ar-SA"/>
          <w14:ligatures w14:val="standardContextual"/>
        </w:rPr>
        <w:t>a távhőszolgáltatásról szóló 2005. évi XVIII. törvény és a végrehajtásáról szóló Korm. rendelet módosításának megfelelően a távhőszolgáltatással ellátott lakóépületek és vegyes célra használt épületek esetén 2027. január 1-jéig kötelezően teljesítendő fűtési költségmegosztó felszerelés műszaki megvalósíthatósági és költséghatékonysági egyedi szempontjainak meghatározása.</w:t>
      </w:r>
    </w:p>
    <w:p w14:paraId="5585AA74" w14:textId="77777777" w:rsidR="00D741C5" w:rsidRPr="00D741C5" w:rsidRDefault="00D741C5" w:rsidP="00D741C5">
      <w:pPr>
        <w:spacing w:before="120"/>
        <w:jc w:val="both"/>
        <w:rPr>
          <w:rFonts w:ascii="Arial" w:eastAsia="Noto Serif CJK SC" w:hAnsi="Arial" w:cs="Arial"/>
        </w:rPr>
      </w:pPr>
      <w:r w:rsidRPr="00D741C5">
        <w:rPr>
          <w:rFonts w:ascii="Arial" w:eastAsia="Noto Serif CJK SC" w:hAnsi="Arial" w:cs="Arial"/>
        </w:rPr>
        <w:t xml:space="preserve">[2] Mór Városi Önkormányzat Képviselő-testülete a távhőszolgáltatásról szóló 2005. évi XVIII. törvény 60. § (3) bekezdésben kapott felhatalmazás alapján, Magyarország helyi önkormányzatairól szóló 2011. évi CLXXXIX. törvény 13. § (1) bekezdés 20. pontjában meghatározott feladatkörében eljárva, a távhőszolgáltatásról szóló 2005. évi XVIII. törvény 10. § a) pontjában biztosított véleményezési jogkörében eljáró Fejér Vármegyei Kormányhivatal Közlekedési, Műszaki Engedélyezési, Mérésügyi és Fogyasztóvédelmi Főosztály Fogyasztóvédelmi Osztálya, továbbá az Országos Fogyasztóvédelmi Egyesület és Lakástulajdonosok Országos Érdekvédelmi Szervezete, valamint Mór Városi Önkormányzat Képviselő-testületének az önkormányzat szervezeti és működési szabályzatáról szóló 5/2015. (IV.1.) önkormányzati rendelete 30. § (4) bekezdésében biztosított véleményezési jogkörében eljáró Pénzügyi Bizottság és Településfejlesztési Bizottság véleményének kikérésével a következőket rendeli el: </w:t>
      </w:r>
    </w:p>
    <w:p w14:paraId="03E907E0"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 §</w:t>
      </w:r>
    </w:p>
    <w:p w14:paraId="1DDFC6C9"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Mór Városi Önkormányzat Képviselő-testületének a távhőszolgáltatásról, a távhőszolgáltatási díjak megállapításáról és a díjalkalmazás feltételeiről szóló 18/2017. (V. 3.) önkormányzati rendelete (a továbbiakban: rendelet) 2. §-a helyébe a következő rendelkezés lép:</w:t>
      </w:r>
    </w:p>
    <w:p w14:paraId="2CD9DF84"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„2. §</w:t>
      </w:r>
    </w:p>
    <w:p w14:paraId="3D60A445"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E rendelet alkalmazásában:</w:t>
      </w:r>
    </w:p>
    <w:p w14:paraId="3F8AB253"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w:t>
      </w:r>
      <w:r w:rsidRPr="00D741C5">
        <w:rPr>
          <w:rFonts w:ascii="Arial" w:eastAsia="Noto Serif CJK SC" w:hAnsi="Arial" w:cs="Arial"/>
        </w:rPr>
        <w:tab/>
        <w:t>díjfizető: a távhőszolgáltatásról szóló törvényben meghatározott díjfizető;</w:t>
      </w:r>
    </w:p>
    <w:p w14:paraId="46E7EA07"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2.</w:t>
      </w:r>
      <w:r w:rsidRPr="00D741C5">
        <w:rPr>
          <w:rFonts w:ascii="Arial" w:eastAsia="Noto Serif CJK SC" w:hAnsi="Arial" w:cs="Arial"/>
        </w:rPr>
        <w:tab/>
        <w:t>egyéb felhasználó: a távhőszolgáltatásról szóló törvényben meghatározott egyéb felhasználó;</w:t>
      </w:r>
    </w:p>
    <w:p w14:paraId="4A09DA25"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3.</w:t>
      </w:r>
      <w:r w:rsidRPr="00D741C5">
        <w:rPr>
          <w:rFonts w:ascii="Arial" w:eastAsia="Noto Serif CJK SC" w:hAnsi="Arial" w:cs="Arial"/>
        </w:rPr>
        <w:tab/>
        <w:t>elszámolási időszak: a távhőszolgáltatásról szóló törvény végrehajtásáról szóló kormányrendeletben meghatározott elszámolási időszak,</w:t>
      </w:r>
    </w:p>
    <w:p w14:paraId="7702A1D8"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4.</w:t>
      </w:r>
      <w:r w:rsidRPr="00D741C5">
        <w:rPr>
          <w:rFonts w:ascii="Arial" w:eastAsia="Noto Serif CJK SC" w:hAnsi="Arial" w:cs="Arial"/>
        </w:rPr>
        <w:tab/>
        <w:t>épületrész: a távhőszolgáltatásról szóló törvényben meghatározott épületrész;</w:t>
      </w:r>
    </w:p>
    <w:p w14:paraId="3B07C498"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5.</w:t>
      </w:r>
      <w:r w:rsidRPr="00D741C5">
        <w:rPr>
          <w:rFonts w:ascii="Arial" w:eastAsia="Noto Serif CJK SC" w:hAnsi="Arial" w:cs="Arial"/>
        </w:rPr>
        <w:tab/>
        <w:t>felhasználási hely: a távhőszolgáltatásról szóló törvényben meghatározott felhasználási hely;</w:t>
      </w:r>
    </w:p>
    <w:p w14:paraId="340DCF11"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6.</w:t>
      </w:r>
      <w:r w:rsidRPr="00D741C5">
        <w:rPr>
          <w:rFonts w:ascii="Arial" w:eastAsia="Noto Serif CJK SC" w:hAnsi="Arial" w:cs="Arial"/>
        </w:rPr>
        <w:tab/>
        <w:t>felhasználó: a távhőszolgáltatásról szóló törvényben meghatározott felhasználó;</w:t>
      </w:r>
    </w:p>
    <w:p w14:paraId="10CD7C78"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7.</w:t>
      </w:r>
      <w:r w:rsidRPr="00D741C5">
        <w:rPr>
          <w:rFonts w:ascii="Arial" w:eastAsia="Noto Serif CJK SC" w:hAnsi="Arial" w:cs="Arial"/>
        </w:rPr>
        <w:tab/>
        <w:t>felhasználói berendezés: a távhőszolgáltatásról szóló törvényben meghatározott felhasználói berendezés;</w:t>
      </w:r>
    </w:p>
    <w:p w14:paraId="362CD166"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8.</w:t>
      </w:r>
      <w:r w:rsidRPr="00D741C5">
        <w:rPr>
          <w:rFonts w:ascii="Arial" w:eastAsia="Noto Serif CJK SC" w:hAnsi="Arial" w:cs="Arial"/>
        </w:rPr>
        <w:tab/>
        <w:t>felhasználói hőközpont: a távhőszolgáltatásról szóló törvényben meghatározott felhasználói hőközpont;</w:t>
      </w:r>
    </w:p>
    <w:p w14:paraId="706A0CAB"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9.</w:t>
      </w:r>
      <w:r w:rsidRPr="00D741C5">
        <w:rPr>
          <w:rFonts w:ascii="Arial" w:eastAsia="Noto Serif CJK SC" w:hAnsi="Arial" w:cs="Arial"/>
        </w:rPr>
        <w:tab/>
        <w:t>felhasználói vezetékhálózat: a távhőszolgáltatásról szóló törvény végrehajtásáról szóló kormányrendeletben meghatározott felhasználói vezetékhálózat;</w:t>
      </w:r>
    </w:p>
    <w:p w14:paraId="2F74FB6D"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lastRenderedPageBreak/>
        <w:t>10.</w:t>
      </w:r>
      <w:r w:rsidRPr="00D741C5">
        <w:rPr>
          <w:rFonts w:ascii="Arial" w:eastAsia="Noto Serif CJK SC" w:hAnsi="Arial" w:cs="Arial"/>
        </w:rPr>
        <w:tab/>
        <w:t>fűtési idény: minden év október 15. napja és a következő év április 15. napja közötti időszak;</w:t>
      </w:r>
    </w:p>
    <w:p w14:paraId="35DE4F74"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11.</w:t>
      </w:r>
      <w:r w:rsidRPr="00D741C5">
        <w:rPr>
          <w:rFonts w:ascii="Arial" w:eastAsia="Noto Serif CJK SC" w:hAnsi="Arial" w:cs="Arial"/>
        </w:rPr>
        <w:tab/>
        <w:t>fűtési időszak: a távhőszolgáltatásról szóló törvény végrehajtásáról szóló kormányrendeletben meghatározott fűtési időszak;</w:t>
      </w:r>
    </w:p>
    <w:p w14:paraId="2C9ADA3A"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12.</w:t>
      </w:r>
      <w:r w:rsidRPr="00D741C5">
        <w:rPr>
          <w:rFonts w:ascii="Arial" w:eastAsia="Noto Serif CJK SC" w:hAnsi="Arial" w:cs="Arial"/>
        </w:rPr>
        <w:tab/>
        <w:t>költségmegosztó: a távhőszolgáltatásról szóló törvény végrehajtásáról szóló kormányrendeletben meghatározott költségmegosztó;</w:t>
      </w:r>
    </w:p>
    <w:p w14:paraId="4BB2A8AE"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13.</w:t>
      </w:r>
      <w:r w:rsidRPr="00D741C5">
        <w:rPr>
          <w:rFonts w:ascii="Arial" w:eastAsia="Noto Serif CJK SC" w:hAnsi="Arial" w:cs="Arial"/>
        </w:rPr>
        <w:tab/>
        <w:t>külön kezelt intézmény: a távhőszolgáltatásról szóló törvényben meghatározott külön kezelt intézmény;</w:t>
      </w:r>
    </w:p>
    <w:p w14:paraId="1FFDEB3D"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14.</w:t>
      </w:r>
      <w:r w:rsidRPr="00D741C5">
        <w:rPr>
          <w:rFonts w:ascii="Arial" w:eastAsia="Noto Serif CJK SC" w:hAnsi="Arial" w:cs="Arial"/>
        </w:rPr>
        <w:tab/>
        <w:t>lakossági felhasználó: a távhőszolgáltatásról szóló törvényben meghatározott lakossági felhasználó;</w:t>
      </w:r>
    </w:p>
    <w:p w14:paraId="6B363655"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15.</w:t>
      </w:r>
      <w:r w:rsidRPr="00D741C5">
        <w:rPr>
          <w:rFonts w:ascii="Arial" w:eastAsia="Noto Serif CJK SC" w:hAnsi="Arial" w:cs="Arial"/>
        </w:rPr>
        <w:tab/>
        <w:t>fűtött légtérfogat: a felhasználási hely, épületrészenként történő díjmegosztás esetén a felhasználási hely épületrészeinek a szerkezeti falsíkok által határolt alapterületének és belmagasságának szorzata, m³-ben kifejezve;</w:t>
      </w:r>
    </w:p>
    <w:p w14:paraId="19CF5D68"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16.</w:t>
      </w:r>
      <w:r w:rsidRPr="00D741C5">
        <w:rPr>
          <w:rFonts w:ascii="Arial" w:eastAsia="Noto Serif CJK SC" w:hAnsi="Arial" w:cs="Arial"/>
        </w:rPr>
        <w:tab/>
        <w:t>szabálytalan vételezés: a távhőszolgáltatásról szóló törvényben meghatározott szabálytalan vételezés;</w:t>
      </w:r>
    </w:p>
    <w:p w14:paraId="433F2271"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17.</w:t>
      </w:r>
      <w:r w:rsidRPr="00D741C5">
        <w:rPr>
          <w:rFonts w:ascii="Arial" w:eastAsia="Noto Serif CJK SC" w:hAnsi="Arial" w:cs="Arial"/>
        </w:rPr>
        <w:tab/>
        <w:t>szolgáltatói berendezés: a távhőszolgáltatásról szóló törvényben meghatározott szolgáltatói berendezés;</w:t>
      </w:r>
    </w:p>
    <w:p w14:paraId="681923B6" w14:textId="77777777" w:rsidR="00D741C5" w:rsidRPr="00D741C5" w:rsidRDefault="00D741C5" w:rsidP="00D741C5">
      <w:pPr>
        <w:spacing w:after="240"/>
        <w:ind w:left="580" w:hanging="560"/>
        <w:jc w:val="both"/>
        <w:rPr>
          <w:rFonts w:ascii="Arial" w:eastAsia="Noto Serif CJK SC" w:hAnsi="Arial" w:cs="Arial"/>
        </w:rPr>
      </w:pPr>
      <w:r w:rsidRPr="00D741C5">
        <w:rPr>
          <w:rFonts w:ascii="Arial" w:eastAsia="Noto Serif CJK SC" w:hAnsi="Arial" w:cs="Arial"/>
          <w:i/>
          <w:iCs/>
        </w:rPr>
        <w:t>18.</w:t>
      </w:r>
      <w:r w:rsidRPr="00D741C5">
        <w:rPr>
          <w:rFonts w:ascii="Arial" w:eastAsia="Noto Serif CJK SC" w:hAnsi="Arial" w:cs="Arial"/>
        </w:rPr>
        <w:tab/>
        <w:t>szolgáltatói hőközpont: a távhőszolgáltatásról szóló törvényben meghatározott szolgáltatói hőközpont.”</w:t>
      </w:r>
    </w:p>
    <w:p w14:paraId="277BF514"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2. §</w:t>
      </w:r>
    </w:p>
    <w:p w14:paraId="5975D2AF"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8. § (3) bekezdése helyébe a következő rendelkezés lép:</w:t>
      </w:r>
    </w:p>
    <w:p w14:paraId="18207C49"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„(3) Amennyiben a távhődíjak kiegyenlítése külön-külön épületrészenként történik, akkor felhasználó vagy díjfizető változás esetén a díj megosztására és kiegyenlítésére vonatkozó, felhasználó és szolgáltató között létrejött megállapodás az új felhasználóra vagy díjfizetőre is vonatkozik mindaddig, amíg azt a felek nem módosítják.”</w:t>
      </w:r>
    </w:p>
    <w:p w14:paraId="314CC7E6"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3. §</w:t>
      </w:r>
    </w:p>
    <w:p w14:paraId="699D920D"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15. §-a helyébe a következő rendelkezés lép:</w:t>
      </w:r>
    </w:p>
    <w:p w14:paraId="5CF8F235"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„15. §</w:t>
      </w:r>
    </w:p>
    <w:p w14:paraId="5570D443" w14:textId="77777777" w:rsidR="00D741C5" w:rsidRPr="00D741C5" w:rsidRDefault="00D741C5" w:rsidP="00D741C5">
      <w:pPr>
        <w:spacing w:after="240"/>
        <w:jc w:val="both"/>
        <w:rPr>
          <w:rFonts w:ascii="Arial" w:eastAsia="Noto Serif CJK SC" w:hAnsi="Arial" w:cs="Arial"/>
        </w:rPr>
      </w:pPr>
      <w:r w:rsidRPr="00D741C5">
        <w:rPr>
          <w:rFonts w:ascii="Arial" w:eastAsia="Noto Serif CJK SC" w:hAnsi="Arial" w:cs="Arial"/>
        </w:rPr>
        <w:t>A szolgáltatott hőmennyiség mérésére kizárólag EU-MID hitelesítéssel rendelkező, vagy a mérésügyi hatóság által hitelesített mérőberendezés alkalmazható. A hőmennyiségmérő üzemben tartásáról és hitelesítéséről a hőmennyiségmérő tulajdonosa köteles gondoskodni. A hőmennyiségmérő hitelességének ellenőrzésére mind a szolgáltató, mind a felhasználó jogosult.”</w:t>
      </w:r>
    </w:p>
    <w:p w14:paraId="648BF597"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4. §</w:t>
      </w:r>
    </w:p>
    <w:p w14:paraId="6859873B"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6. alcíme a következő 15/A. §-</w:t>
      </w:r>
      <w:proofErr w:type="spellStart"/>
      <w:r w:rsidRPr="00D741C5">
        <w:rPr>
          <w:rFonts w:ascii="Arial" w:eastAsia="Noto Serif CJK SC" w:hAnsi="Arial" w:cs="Arial"/>
        </w:rPr>
        <w:t>sal</w:t>
      </w:r>
      <w:proofErr w:type="spellEnd"/>
      <w:r w:rsidRPr="00D741C5">
        <w:rPr>
          <w:rFonts w:ascii="Arial" w:eastAsia="Noto Serif CJK SC" w:hAnsi="Arial" w:cs="Arial"/>
        </w:rPr>
        <w:t xml:space="preserve"> egészül ki:</w:t>
      </w:r>
    </w:p>
    <w:p w14:paraId="4DA5D96B"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„15/A. §</w:t>
      </w:r>
    </w:p>
    <w:p w14:paraId="6E92C8CB"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 xml:space="preserve">(1) A felhasználó 2026. december 31-ig köteles bejelenteni a távhőszolgáltatónak azt, ha a felhasználási helyen a közös használatú épületrészek kivételével valamennyi épületrész rendelkezik az elfogyasztott fűtési célú távhő felosztása érdekében a távhőszolgáltatásról szóló 2005. évi XVIII. törvény végrehajtásáról szóló 157/2005. </w:t>
      </w:r>
      <w:r w:rsidRPr="00D741C5">
        <w:rPr>
          <w:rFonts w:ascii="Arial" w:eastAsia="Noto Serif CJK SC" w:hAnsi="Arial" w:cs="Arial"/>
        </w:rPr>
        <w:lastRenderedPageBreak/>
        <w:t>(VIII.15.) Korm.rendelet (a továbbiakban: Vhr.) 17/A. § 4. pontja szerinti fűtési költségmegosztóval.</w:t>
      </w:r>
    </w:p>
    <w:p w14:paraId="102DF54E"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(2) A felhasználó az (1) bekezdésben foglalt bejelentést abban az esetben is köteles megtenni, ha a távhőszolgáltatóval nem költségmegosztó alkalmazásával számított arány szerinti díjmegosztásra vonatkozóan áll szerződésben.”</w:t>
      </w:r>
    </w:p>
    <w:p w14:paraId="4E2877FE"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5. §</w:t>
      </w:r>
    </w:p>
    <w:p w14:paraId="01903022"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16. § (1) bekezdése helyébe a következő rendelkezés lép:</w:t>
      </w:r>
    </w:p>
    <w:p w14:paraId="13932833"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 xml:space="preserve">„(1) A távhőszolgáltatás szüneteltetésére kizárólag a távhőszolgáltatásról szóló 2005. évi XVIII. törvényben (a továbbiakban: </w:t>
      </w:r>
      <w:proofErr w:type="spellStart"/>
      <w:r w:rsidRPr="00D741C5">
        <w:rPr>
          <w:rFonts w:ascii="Arial" w:eastAsia="Noto Serif CJK SC" w:hAnsi="Arial" w:cs="Arial"/>
        </w:rPr>
        <w:t>Tszt</w:t>
      </w:r>
      <w:proofErr w:type="spellEnd"/>
      <w:r w:rsidRPr="00D741C5">
        <w:rPr>
          <w:rFonts w:ascii="Arial" w:eastAsia="Noto Serif CJK SC" w:hAnsi="Arial" w:cs="Arial"/>
        </w:rPr>
        <w:t>.) és a Vhr.-ben rögzített esetekben és feltételekkel kerülhet sor.”</w:t>
      </w:r>
    </w:p>
    <w:p w14:paraId="0F79E793"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6. §</w:t>
      </w:r>
    </w:p>
    <w:p w14:paraId="52B5B679"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(1) A rendelet 18. § (1) bekezdése helyébe a következő rendelkezés lép:</w:t>
      </w:r>
    </w:p>
    <w:p w14:paraId="20262DC4"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 xml:space="preserve">„(1) A távhőszolgáltató a </w:t>
      </w:r>
      <w:proofErr w:type="spellStart"/>
      <w:r w:rsidRPr="00D741C5">
        <w:rPr>
          <w:rFonts w:ascii="Arial" w:eastAsia="Noto Serif CJK SC" w:hAnsi="Arial" w:cs="Arial"/>
        </w:rPr>
        <w:t>Tszt</w:t>
      </w:r>
      <w:proofErr w:type="spellEnd"/>
      <w:r w:rsidRPr="00D741C5">
        <w:rPr>
          <w:rFonts w:ascii="Arial" w:eastAsia="Noto Serif CJK SC" w:hAnsi="Arial" w:cs="Arial"/>
        </w:rPr>
        <w:t xml:space="preserve">. 41. § (1) bekezdésében foglalt esetekben a </w:t>
      </w:r>
      <w:proofErr w:type="spellStart"/>
      <w:proofErr w:type="gramStart"/>
      <w:r w:rsidRPr="00D741C5">
        <w:rPr>
          <w:rFonts w:ascii="Arial" w:eastAsia="Noto Serif CJK SC" w:hAnsi="Arial" w:cs="Arial"/>
        </w:rPr>
        <w:t>Tszt</w:t>
      </w:r>
      <w:proofErr w:type="spellEnd"/>
      <w:r w:rsidRPr="00D741C5">
        <w:rPr>
          <w:rFonts w:ascii="Arial" w:eastAsia="Noto Serif CJK SC" w:hAnsi="Arial" w:cs="Arial"/>
        </w:rPr>
        <w:t>.-</w:t>
      </w:r>
      <w:proofErr w:type="gramEnd"/>
      <w:r w:rsidRPr="00D741C5">
        <w:rPr>
          <w:rFonts w:ascii="Arial" w:eastAsia="Noto Serif CJK SC" w:hAnsi="Arial" w:cs="Arial"/>
        </w:rPr>
        <w:t>ben és a Vhr.-ben foglaltak szerint jogosult a távhőszolgáltatást korlátozni. A korlátozás elrendeléséről, a korlátozás fázisáról, fokozatáról és a korlátozás kezdő időpontjáról és később a korlátozás feloldásáról a távhőszolgáltató köteles a honlapon történő közzététellel és lehetőségekhez mérten írásban értesíteni a felhasználókat és az Önkormányzatot.”</w:t>
      </w:r>
    </w:p>
    <w:p w14:paraId="73B68647"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(2) A rendelet 18. § (3) bekezdése helyébe a következő rendelkezés lép:</w:t>
      </w:r>
    </w:p>
    <w:p w14:paraId="3C4A35F9"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„(3) Amennyiben az szükséges, a szolgáltató hírközlő eszközön keresztül köteles felhívni a felhasználókat a távhő fogyasztás csökkentésére.”</w:t>
      </w:r>
    </w:p>
    <w:p w14:paraId="060565C1"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7. §</w:t>
      </w:r>
    </w:p>
    <w:p w14:paraId="181D5DDB"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19. §-a helyébe a következő rendelkezés lép:</w:t>
      </w:r>
    </w:p>
    <w:p w14:paraId="39A64BA3"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„19. §</w:t>
      </w:r>
    </w:p>
    <w:p w14:paraId="3BB08515"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távhőszolgáltatás korlátozásának elrendelése két fázisban, a fázison belül több fokozatban történhet, az alábbiak szerint:</w:t>
      </w:r>
    </w:p>
    <w:p w14:paraId="7DEE3A70"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a)</w:t>
      </w:r>
      <w:r w:rsidRPr="00D741C5">
        <w:rPr>
          <w:rFonts w:ascii="Arial" w:eastAsia="Noto Serif CJK SC" w:hAnsi="Arial" w:cs="Arial"/>
        </w:rPr>
        <w:tab/>
        <w:t>I. fázis:</w:t>
      </w:r>
    </w:p>
    <w:p w14:paraId="3744C34A" w14:textId="77777777" w:rsidR="00D741C5" w:rsidRPr="00D741C5" w:rsidRDefault="00D741C5" w:rsidP="00D741C5">
      <w:pPr>
        <w:ind w:left="980" w:hanging="400"/>
        <w:jc w:val="both"/>
        <w:rPr>
          <w:rFonts w:ascii="Arial" w:eastAsia="Noto Serif CJK SC" w:hAnsi="Arial" w:cs="Arial"/>
        </w:rPr>
      </w:pPr>
      <w:proofErr w:type="spellStart"/>
      <w:r w:rsidRPr="00D741C5">
        <w:rPr>
          <w:rFonts w:ascii="Arial" w:eastAsia="Noto Serif CJK SC" w:hAnsi="Arial" w:cs="Arial"/>
          <w:i/>
          <w:iCs/>
        </w:rPr>
        <w:t>aa</w:t>
      </w:r>
      <w:proofErr w:type="spellEnd"/>
      <w:r w:rsidRPr="00D741C5">
        <w:rPr>
          <w:rFonts w:ascii="Arial" w:eastAsia="Noto Serif CJK SC" w:hAnsi="Arial" w:cs="Arial"/>
          <w:i/>
          <w:iCs/>
        </w:rPr>
        <w:t>)</w:t>
      </w:r>
      <w:r w:rsidRPr="00D741C5">
        <w:rPr>
          <w:rFonts w:ascii="Arial" w:eastAsia="Noto Serif CJK SC" w:hAnsi="Arial" w:cs="Arial"/>
        </w:rPr>
        <w:tab/>
        <w:t>1. fokozat: a felhasználók által igényelt távhőellátáshoz képest a szolgáltatott hőmennyiség 10 %-os csökkentése,</w:t>
      </w:r>
    </w:p>
    <w:p w14:paraId="6404B73C" w14:textId="77777777" w:rsidR="00D741C5" w:rsidRPr="00D741C5" w:rsidRDefault="00D741C5" w:rsidP="00D741C5">
      <w:pPr>
        <w:ind w:left="980" w:hanging="400"/>
        <w:jc w:val="both"/>
        <w:rPr>
          <w:rFonts w:ascii="Arial" w:eastAsia="Noto Serif CJK SC" w:hAnsi="Arial" w:cs="Arial"/>
        </w:rPr>
      </w:pPr>
      <w:r w:rsidRPr="00D741C5">
        <w:rPr>
          <w:rFonts w:ascii="Arial" w:eastAsia="Noto Serif CJK SC" w:hAnsi="Arial" w:cs="Arial"/>
          <w:i/>
          <w:iCs/>
        </w:rPr>
        <w:t>ab)</w:t>
      </w:r>
      <w:r w:rsidRPr="00D741C5">
        <w:rPr>
          <w:rFonts w:ascii="Arial" w:eastAsia="Noto Serif CJK SC" w:hAnsi="Arial" w:cs="Arial"/>
        </w:rPr>
        <w:tab/>
        <w:t>2. fokozat: a felhasználók önkéntes távhőfogyasztás csökkentésre történő felkérése a médián keresztül,</w:t>
      </w:r>
    </w:p>
    <w:p w14:paraId="23F67255"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b)</w:t>
      </w:r>
      <w:r w:rsidRPr="00D741C5">
        <w:rPr>
          <w:rFonts w:ascii="Arial" w:eastAsia="Noto Serif CJK SC" w:hAnsi="Arial" w:cs="Arial"/>
        </w:rPr>
        <w:tab/>
        <w:t>II. fázis:</w:t>
      </w:r>
    </w:p>
    <w:p w14:paraId="408CF22F" w14:textId="77777777" w:rsidR="00D741C5" w:rsidRPr="00D741C5" w:rsidRDefault="00D741C5" w:rsidP="00D741C5">
      <w:pPr>
        <w:ind w:left="980" w:hanging="400"/>
        <w:jc w:val="both"/>
        <w:rPr>
          <w:rFonts w:ascii="Arial" w:eastAsia="Noto Serif CJK SC" w:hAnsi="Arial" w:cs="Arial"/>
        </w:rPr>
      </w:pPr>
      <w:proofErr w:type="spellStart"/>
      <w:r w:rsidRPr="00D741C5">
        <w:rPr>
          <w:rFonts w:ascii="Arial" w:eastAsia="Noto Serif CJK SC" w:hAnsi="Arial" w:cs="Arial"/>
          <w:i/>
          <w:iCs/>
        </w:rPr>
        <w:t>ba</w:t>
      </w:r>
      <w:proofErr w:type="spellEnd"/>
      <w:r w:rsidRPr="00D741C5">
        <w:rPr>
          <w:rFonts w:ascii="Arial" w:eastAsia="Noto Serif CJK SC" w:hAnsi="Arial" w:cs="Arial"/>
          <w:i/>
          <w:iCs/>
        </w:rPr>
        <w:t>)</w:t>
      </w:r>
      <w:r w:rsidRPr="00D741C5">
        <w:rPr>
          <w:rFonts w:ascii="Arial" w:eastAsia="Noto Serif CJK SC" w:hAnsi="Arial" w:cs="Arial"/>
        </w:rPr>
        <w:tab/>
        <w:t>1. fokozat: az alternatív hőforrással rendelkező egyéb felhasználók távhőszolgáltatással történő ellátásának 100 %-os csökkentése és a földgázellátás biztonságának megőrzését szolgáló intézkedésekről szóló 399/2023. (VIII.24.) Korm. rendelet (a továbbiakban: Korm. rendelet) 13. § (2) bekezdés c) és e) pontjában meghatározott felhasználók kivételével az egyéb felhasználók használati melegvíz-szolgáltatással történő ellátásának szüneteltetése,</w:t>
      </w:r>
    </w:p>
    <w:p w14:paraId="7A33BD9A" w14:textId="77777777" w:rsidR="00D741C5" w:rsidRPr="00D741C5" w:rsidRDefault="00D741C5" w:rsidP="00D741C5">
      <w:pPr>
        <w:ind w:left="980" w:hanging="400"/>
        <w:jc w:val="both"/>
        <w:rPr>
          <w:rFonts w:ascii="Arial" w:eastAsia="Noto Serif CJK SC" w:hAnsi="Arial" w:cs="Arial"/>
        </w:rPr>
      </w:pPr>
      <w:proofErr w:type="spellStart"/>
      <w:r w:rsidRPr="00D741C5">
        <w:rPr>
          <w:rFonts w:ascii="Arial" w:eastAsia="Noto Serif CJK SC" w:hAnsi="Arial" w:cs="Arial"/>
          <w:i/>
          <w:iCs/>
        </w:rPr>
        <w:lastRenderedPageBreak/>
        <w:t>bb</w:t>
      </w:r>
      <w:proofErr w:type="spellEnd"/>
      <w:r w:rsidRPr="00D741C5">
        <w:rPr>
          <w:rFonts w:ascii="Arial" w:eastAsia="Noto Serif CJK SC" w:hAnsi="Arial" w:cs="Arial"/>
          <w:i/>
          <w:iCs/>
        </w:rPr>
        <w:t>)</w:t>
      </w:r>
      <w:r w:rsidRPr="00D741C5">
        <w:rPr>
          <w:rFonts w:ascii="Arial" w:eastAsia="Noto Serif CJK SC" w:hAnsi="Arial" w:cs="Arial"/>
        </w:rPr>
        <w:tab/>
        <w:t>2. fokozat: a Korm. rendelet 13. § (2) bekezdés c) és e) pontjában meghatározott felhasználók kivételével az egyéb felhasználók által igényelt fűtési célú hőmennyiséghez képest a szolgáltatott hőmennyiség legfeljebb 80 %-os csökkentése, azaz temperálása,</w:t>
      </w:r>
    </w:p>
    <w:p w14:paraId="2DFDB68E" w14:textId="77777777" w:rsidR="00D741C5" w:rsidRPr="00D741C5" w:rsidRDefault="00D741C5" w:rsidP="00D741C5">
      <w:pPr>
        <w:ind w:left="980" w:hanging="400"/>
        <w:jc w:val="both"/>
        <w:rPr>
          <w:rFonts w:ascii="Arial" w:eastAsia="Noto Serif CJK SC" w:hAnsi="Arial" w:cs="Arial"/>
        </w:rPr>
      </w:pPr>
      <w:proofErr w:type="spellStart"/>
      <w:r w:rsidRPr="00D741C5">
        <w:rPr>
          <w:rFonts w:ascii="Arial" w:eastAsia="Noto Serif CJK SC" w:hAnsi="Arial" w:cs="Arial"/>
          <w:i/>
          <w:iCs/>
        </w:rPr>
        <w:t>bc</w:t>
      </w:r>
      <w:proofErr w:type="spellEnd"/>
      <w:r w:rsidRPr="00D741C5">
        <w:rPr>
          <w:rFonts w:ascii="Arial" w:eastAsia="Noto Serif CJK SC" w:hAnsi="Arial" w:cs="Arial"/>
          <w:i/>
          <w:iCs/>
        </w:rPr>
        <w:t>)</w:t>
      </w:r>
      <w:r w:rsidRPr="00D741C5">
        <w:rPr>
          <w:rFonts w:ascii="Arial" w:eastAsia="Noto Serif CJK SC" w:hAnsi="Arial" w:cs="Arial"/>
        </w:rPr>
        <w:tab/>
        <w:t>3. fokozat: a használati melegvíz-szolgáltatás szüneteltetése a lakossági felhasználóknál,</w:t>
      </w:r>
    </w:p>
    <w:p w14:paraId="795137EE" w14:textId="77777777" w:rsidR="00D741C5" w:rsidRPr="00D741C5" w:rsidRDefault="00D741C5" w:rsidP="00D741C5">
      <w:pPr>
        <w:ind w:left="980" w:hanging="400"/>
        <w:jc w:val="both"/>
        <w:rPr>
          <w:rFonts w:ascii="Arial" w:eastAsia="Noto Serif CJK SC" w:hAnsi="Arial" w:cs="Arial"/>
        </w:rPr>
      </w:pPr>
      <w:proofErr w:type="spellStart"/>
      <w:r w:rsidRPr="00D741C5">
        <w:rPr>
          <w:rFonts w:ascii="Arial" w:eastAsia="Noto Serif CJK SC" w:hAnsi="Arial" w:cs="Arial"/>
          <w:i/>
          <w:iCs/>
        </w:rPr>
        <w:t>bd</w:t>
      </w:r>
      <w:proofErr w:type="spellEnd"/>
      <w:r w:rsidRPr="00D741C5">
        <w:rPr>
          <w:rFonts w:ascii="Arial" w:eastAsia="Noto Serif CJK SC" w:hAnsi="Arial" w:cs="Arial"/>
          <w:i/>
          <w:iCs/>
        </w:rPr>
        <w:t>)</w:t>
      </w:r>
      <w:r w:rsidRPr="00D741C5">
        <w:rPr>
          <w:rFonts w:ascii="Arial" w:eastAsia="Noto Serif CJK SC" w:hAnsi="Arial" w:cs="Arial"/>
        </w:rPr>
        <w:tab/>
        <w:t>4. fokozat: a lakossági felhasználók által igényelt fűtési célú hőmennyiséghez képest a szolgáltatott hőmennyiség legfeljebb 80 %-os csökkentése, azaz temperálása,</w:t>
      </w:r>
    </w:p>
    <w:p w14:paraId="3BDB9734" w14:textId="77777777" w:rsidR="00D741C5" w:rsidRPr="00D741C5" w:rsidRDefault="00D741C5" w:rsidP="00D741C5">
      <w:pPr>
        <w:spacing w:after="240"/>
        <w:ind w:left="980" w:hanging="400"/>
        <w:jc w:val="both"/>
        <w:rPr>
          <w:rFonts w:ascii="Arial" w:eastAsia="Noto Serif CJK SC" w:hAnsi="Arial" w:cs="Arial"/>
        </w:rPr>
      </w:pPr>
      <w:r w:rsidRPr="00D741C5">
        <w:rPr>
          <w:rFonts w:ascii="Arial" w:eastAsia="Noto Serif CJK SC" w:hAnsi="Arial" w:cs="Arial"/>
          <w:i/>
          <w:iCs/>
        </w:rPr>
        <w:t>be)</w:t>
      </w:r>
      <w:r w:rsidRPr="00D741C5">
        <w:rPr>
          <w:rFonts w:ascii="Arial" w:eastAsia="Noto Serif CJK SC" w:hAnsi="Arial" w:cs="Arial"/>
        </w:rPr>
        <w:tab/>
        <w:t>5. fokozat: a Korm. rendelet 13. § (2) bekezdés c) és e) pontjában meghatározott felhasználók kivételével a teljes felhasználói korlátozás.”</w:t>
      </w:r>
    </w:p>
    <w:p w14:paraId="72447589"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8. §</w:t>
      </w:r>
    </w:p>
    <w:p w14:paraId="475E0C32"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23. §-a helyébe a következő rendelkezés lép:</w:t>
      </w:r>
    </w:p>
    <w:p w14:paraId="7E06A4B7"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„23. §</w:t>
      </w:r>
    </w:p>
    <w:p w14:paraId="5FE9F66A" w14:textId="77777777" w:rsidR="00D741C5" w:rsidRPr="00D741C5" w:rsidRDefault="00D741C5" w:rsidP="00D741C5">
      <w:pPr>
        <w:spacing w:after="240"/>
        <w:jc w:val="both"/>
        <w:rPr>
          <w:rFonts w:ascii="Arial" w:eastAsia="Noto Serif CJK SC" w:hAnsi="Arial" w:cs="Arial"/>
        </w:rPr>
      </w:pPr>
      <w:r w:rsidRPr="00D741C5">
        <w:rPr>
          <w:rFonts w:ascii="Arial" w:eastAsia="Noto Serif CJK SC" w:hAnsi="Arial" w:cs="Arial"/>
        </w:rPr>
        <w:t>A távhőszolgáltatás felfüggesztésére a Vhr.-ben meghatározott feltételekkel abban az esetben is sor kerülhet, amennyiben a felhasználó más felhasználó vételezését zavarja, vagy vételezésével veszélyhelyzetet teremt.”</w:t>
      </w:r>
    </w:p>
    <w:p w14:paraId="2D9F3D1D"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9. §</w:t>
      </w:r>
    </w:p>
    <w:p w14:paraId="50F85DFF"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34. § (3) bekezdése helyébe a következő rendelkezés lép:</w:t>
      </w:r>
    </w:p>
    <w:p w14:paraId="633ADF05"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 xml:space="preserve">„(3) Paneles építési technológiával készült épületek esetén a </w:t>
      </w:r>
      <w:proofErr w:type="spellStart"/>
      <w:r w:rsidRPr="00D741C5">
        <w:rPr>
          <w:rFonts w:ascii="Arial" w:eastAsia="Noto Serif CJK SC" w:hAnsi="Arial" w:cs="Arial"/>
        </w:rPr>
        <w:t>belméretek</w:t>
      </w:r>
      <w:proofErr w:type="spellEnd"/>
      <w:r w:rsidRPr="00D741C5">
        <w:rPr>
          <w:rFonts w:ascii="Arial" w:eastAsia="Noto Serif CJK SC" w:hAnsi="Arial" w:cs="Arial"/>
        </w:rPr>
        <w:t xml:space="preserve"> meghatározása a típustervek adatainak figyelembevételével történik. Új építésű épületek esetén a </w:t>
      </w:r>
      <w:proofErr w:type="spellStart"/>
      <w:r w:rsidRPr="00D741C5">
        <w:rPr>
          <w:rFonts w:ascii="Arial" w:eastAsia="Noto Serif CJK SC" w:hAnsi="Arial" w:cs="Arial"/>
        </w:rPr>
        <w:t>belméretek</w:t>
      </w:r>
      <w:proofErr w:type="spellEnd"/>
      <w:r w:rsidRPr="00D741C5">
        <w:rPr>
          <w:rFonts w:ascii="Arial" w:eastAsia="Noto Serif CJK SC" w:hAnsi="Arial" w:cs="Arial"/>
        </w:rPr>
        <w:t xml:space="preserve"> meghatározásánál az építési tervek adatait kell alapul venni.”</w:t>
      </w:r>
    </w:p>
    <w:p w14:paraId="648AA56C"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10. §</w:t>
      </w:r>
    </w:p>
    <w:p w14:paraId="35F8FB93"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36. § c) pontja helyébe a következő rendelkezés lép:</w:t>
      </w:r>
    </w:p>
    <w:p w14:paraId="2BD7F9FD" w14:textId="77777777" w:rsidR="00D741C5" w:rsidRPr="00D741C5" w:rsidRDefault="00D741C5" w:rsidP="00D741C5">
      <w:pPr>
        <w:spacing w:before="240"/>
        <w:jc w:val="both"/>
        <w:rPr>
          <w:rFonts w:ascii="Arial" w:eastAsia="Noto Serif CJK SC" w:hAnsi="Arial" w:cs="Arial"/>
          <w:i/>
          <w:iCs/>
        </w:rPr>
      </w:pPr>
      <w:r w:rsidRPr="00D741C5">
        <w:rPr>
          <w:rFonts w:ascii="Arial" w:eastAsia="Noto Serif CJK SC" w:hAnsi="Arial" w:cs="Arial"/>
          <w:i/>
          <w:iCs/>
        </w:rPr>
        <w:t>(Az alapdíj abban az esetben is megfizetendő, amennyiben)</w:t>
      </w:r>
    </w:p>
    <w:p w14:paraId="179E329C" w14:textId="77777777" w:rsidR="00D741C5" w:rsidRPr="00D741C5" w:rsidRDefault="00D741C5" w:rsidP="00D741C5">
      <w:pPr>
        <w:spacing w:after="240"/>
        <w:ind w:left="580" w:hanging="560"/>
        <w:jc w:val="both"/>
        <w:rPr>
          <w:rFonts w:ascii="Arial" w:eastAsia="Noto Serif CJK SC" w:hAnsi="Arial" w:cs="Arial"/>
        </w:rPr>
      </w:pPr>
      <w:r w:rsidRPr="00D741C5">
        <w:rPr>
          <w:rFonts w:ascii="Arial" w:eastAsia="Noto Serif CJK SC" w:hAnsi="Arial" w:cs="Arial"/>
        </w:rPr>
        <w:t>„</w:t>
      </w:r>
      <w:r w:rsidRPr="00D741C5">
        <w:rPr>
          <w:rFonts w:ascii="Arial" w:eastAsia="Noto Serif CJK SC" w:hAnsi="Arial" w:cs="Arial"/>
          <w:i/>
          <w:iCs/>
        </w:rPr>
        <w:t>c)</w:t>
      </w:r>
      <w:r w:rsidRPr="00D741C5">
        <w:rPr>
          <w:rFonts w:ascii="Arial" w:eastAsia="Noto Serif CJK SC" w:hAnsi="Arial" w:cs="Arial"/>
        </w:rPr>
        <w:tab/>
        <w:t xml:space="preserve">az általános közszolgáltatási szerződés felmondása esetén a felmondási idő lejárt, azonban a felhasználó vagy a díjfizető a </w:t>
      </w:r>
      <w:proofErr w:type="spellStart"/>
      <w:proofErr w:type="gramStart"/>
      <w:r w:rsidRPr="00D741C5">
        <w:rPr>
          <w:rFonts w:ascii="Arial" w:eastAsia="Noto Serif CJK SC" w:hAnsi="Arial" w:cs="Arial"/>
        </w:rPr>
        <w:t>Tszt</w:t>
      </w:r>
      <w:proofErr w:type="spellEnd"/>
      <w:r w:rsidRPr="00D741C5">
        <w:rPr>
          <w:rFonts w:ascii="Arial" w:eastAsia="Noto Serif CJK SC" w:hAnsi="Arial" w:cs="Arial"/>
        </w:rPr>
        <w:t>.-</w:t>
      </w:r>
      <w:proofErr w:type="gramEnd"/>
      <w:r w:rsidRPr="00D741C5">
        <w:rPr>
          <w:rFonts w:ascii="Arial" w:eastAsia="Noto Serif CJK SC" w:hAnsi="Arial" w:cs="Arial"/>
        </w:rPr>
        <w:t>ben meghatározott feltételeket nem teljesítette és ennek tényét a távhőszolgáltatónak írásban nem jelentette be.”</w:t>
      </w:r>
    </w:p>
    <w:p w14:paraId="2B083A07"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11. §</w:t>
      </w:r>
    </w:p>
    <w:p w14:paraId="75A6F096"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41. §-a helyébe a következő rendelkezés lép:</w:t>
      </w:r>
    </w:p>
    <w:p w14:paraId="2068A6BA"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„41. §</w:t>
      </w:r>
    </w:p>
    <w:p w14:paraId="69D0E756" w14:textId="77777777" w:rsidR="00D741C5" w:rsidRPr="00D741C5" w:rsidRDefault="00D741C5" w:rsidP="00D741C5">
      <w:pPr>
        <w:spacing w:after="240"/>
        <w:jc w:val="both"/>
        <w:rPr>
          <w:rFonts w:ascii="Arial" w:eastAsia="Noto Serif CJK SC" w:hAnsi="Arial" w:cs="Arial"/>
        </w:rPr>
      </w:pPr>
      <w:r w:rsidRPr="00D741C5">
        <w:rPr>
          <w:rFonts w:ascii="Arial" w:eastAsia="Noto Serif CJK SC" w:hAnsi="Arial" w:cs="Arial"/>
        </w:rPr>
        <w:t xml:space="preserve">A </w:t>
      </w:r>
      <w:proofErr w:type="spellStart"/>
      <w:r w:rsidRPr="00D741C5">
        <w:rPr>
          <w:rFonts w:ascii="Arial" w:eastAsia="Noto Serif CJK SC" w:hAnsi="Arial" w:cs="Arial"/>
        </w:rPr>
        <w:t>Tszt</w:t>
      </w:r>
      <w:proofErr w:type="spellEnd"/>
      <w:r w:rsidRPr="00D741C5">
        <w:rPr>
          <w:rFonts w:ascii="Arial" w:eastAsia="Noto Serif CJK SC" w:hAnsi="Arial" w:cs="Arial"/>
        </w:rPr>
        <w:t>. által meghatározott esetekben pótdíj fizetendő.”</w:t>
      </w:r>
    </w:p>
    <w:p w14:paraId="0E47D02C"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12. §</w:t>
      </w:r>
    </w:p>
    <w:p w14:paraId="7409DA1C"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44. §-a helyébe a következő rendelkezés lép:</w:t>
      </w:r>
    </w:p>
    <w:p w14:paraId="390151DE"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lastRenderedPageBreak/>
        <w:t>„44. §</w:t>
      </w:r>
    </w:p>
    <w:p w14:paraId="02AE887F"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(1) A távhőszolgáltatási díjat</w:t>
      </w:r>
    </w:p>
    <w:p w14:paraId="7CB71140"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a)</w:t>
      </w:r>
      <w:r w:rsidRPr="00D741C5">
        <w:rPr>
          <w:rFonts w:ascii="Arial" w:eastAsia="Noto Serif CJK SC" w:hAnsi="Arial" w:cs="Arial"/>
        </w:rPr>
        <w:tab/>
        <w:t>a felhasználó vagy</w:t>
      </w:r>
    </w:p>
    <w:p w14:paraId="161DCF66"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b)</w:t>
      </w:r>
      <w:r w:rsidRPr="00D741C5">
        <w:rPr>
          <w:rFonts w:ascii="Arial" w:eastAsia="Noto Serif CJK SC" w:hAnsi="Arial" w:cs="Arial"/>
        </w:rPr>
        <w:tab/>
        <w:t>a díjfizető</w:t>
      </w:r>
    </w:p>
    <w:p w14:paraId="10AA2BF0" w14:textId="77777777" w:rsidR="00D741C5" w:rsidRPr="00D741C5" w:rsidRDefault="00D741C5" w:rsidP="00D741C5">
      <w:pPr>
        <w:rPr>
          <w:rFonts w:ascii="Arial" w:eastAsia="Noto Serif CJK SC" w:hAnsi="Arial" w:cs="Arial"/>
        </w:rPr>
      </w:pPr>
      <w:r w:rsidRPr="00D741C5">
        <w:rPr>
          <w:rFonts w:ascii="Arial" w:eastAsia="Noto Serif CJK SC" w:hAnsi="Arial" w:cs="Arial"/>
        </w:rPr>
        <w:t>köteles megfizetni a távhőszolgáltató által kiállított számlának megfelelő módon és a számlán megjelölt határidőben.</w:t>
      </w:r>
    </w:p>
    <w:p w14:paraId="6B644C49"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 xml:space="preserve">(2) Amennyiben a költségmegosztó funkciót a Vhr. 17/A. § 4. pont c) alpontja szerinti költségmegosztó látja el, a hőközponti hőmennyiségmérőn mért felhasználás díja és az </w:t>
      </w:r>
      <w:proofErr w:type="spellStart"/>
      <w:r w:rsidRPr="00D741C5">
        <w:rPr>
          <w:rFonts w:ascii="Arial" w:eastAsia="Noto Serif CJK SC" w:hAnsi="Arial" w:cs="Arial"/>
        </w:rPr>
        <w:t>épületrészenkénti</w:t>
      </w:r>
      <w:proofErr w:type="spellEnd"/>
      <w:r w:rsidRPr="00D741C5">
        <w:rPr>
          <w:rFonts w:ascii="Arial" w:eastAsia="Noto Serif CJK SC" w:hAnsi="Arial" w:cs="Arial"/>
        </w:rPr>
        <w:t xml:space="preserve"> költségmegosztók szerinti felhasználások összesített díja közötti különbözet tekintetében a távhővel ellátott lakóépület vagy vegyes célra használt épület tulajdonosi közössége (a társasház, a lakásszövetkezet, vagy a Polgári Törvénykönyv szerinti közös tulajdon esetén a tulajdonostársak) a díjfizető.”</w:t>
      </w:r>
    </w:p>
    <w:p w14:paraId="01CF6BE8"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13. §</w:t>
      </w:r>
    </w:p>
    <w:p w14:paraId="0D6B5F9A"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47. §-a helyébe a következő rendelkezés lép:</w:t>
      </w:r>
    </w:p>
    <w:p w14:paraId="6B3F52E3"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„47. §</w:t>
      </w:r>
    </w:p>
    <w:p w14:paraId="775BCB4B" w14:textId="77777777" w:rsidR="00D741C5" w:rsidRPr="00D741C5" w:rsidRDefault="00D741C5" w:rsidP="00D741C5">
      <w:pPr>
        <w:spacing w:after="240"/>
        <w:jc w:val="both"/>
        <w:rPr>
          <w:rFonts w:ascii="Arial" w:eastAsia="Noto Serif CJK SC" w:hAnsi="Arial" w:cs="Arial"/>
        </w:rPr>
      </w:pPr>
      <w:r w:rsidRPr="00D741C5">
        <w:rPr>
          <w:rFonts w:ascii="Arial" w:eastAsia="Noto Serif CJK SC" w:hAnsi="Arial" w:cs="Arial"/>
        </w:rPr>
        <w:t>A felhasználó vagy a díjfizető az egy évre számított alapdíj 1/12-ed részének megfelelő összeget a tárgyhónapban kiállított számlán feltüntetett fizetési határidőn belül köteles megfizetni.”</w:t>
      </w:r>
    </w:p>
    <w:p w14:paraId="1792EDC4"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14. §</w:t>
      </w:r>
    </w:p>
    <w:p w14:paraId="7AB832DE"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51. § (2) bekezdése helyébe a következő rendelkezés lép:</w:t>
      </w:r>
    </w:p>
    <w:p w14:paraId="07847779"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„(2) Amennyiben éves elszámolás esetén a felhasználó vagy a díjfizető által teljesített befizetések összege az éves elszámoláskor nem egyezik meg a hőközponti hőmennyiségmérőn mért távhőmennyiség hődíjával, a távhőszolgáltató az elszámolási különbözetet a felhasználónak vagy díjfizetőnek pótlólagosan számlázza vagy írja jóvá.”</w:t>
      </w:r>
    </w:p>
    <w:p w14:paraId="7FE80424"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15. §</w:t>
      </w:r>
    </w:p>
    <w:p w14:paraId="02F3D936"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18. alcíme a következő 51/A. §-</w:t>
      </w:r>
      <w:proofErr w:type="spellStart"/>
      <w:r w:rsidRPr="00D741C5">
        <w:rPr>
          <w:rFonts w:ascii="Arial" w:eastAsia="Noto Serif CJK SC" w:hAnsi="Arial" w:cs="Arial"/>
        </w:rPr>
        <w:t>sal</w:t>
      </w:r>
      <w:proofErr w:type="spellEnd"/>
      <w:r w:rsidRPr="00D741C5">
        <w:rPr>
          <w:rFonts w:ascii="Arial" w:eastAsia="Noto Serif CJK SC" w:hAnsi="Arial" w:cs="Arial"/>
        </w:rPr>
        <w:t xml:space="preserve"> egészül ki:</w:t>
      </w:r>
    </w:p>
    <w:p w14:paraId="5FE0911B"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„51/A. §</w:t>
      </w:r>
    </w:p>
    <w:p w14:paraId="452BA442"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(1) Azok a felhasználók, akiknél a felhasználási hely épületrészei - a távhőszolgáltató rendelkezésére álló információk szerint - nem rendelkeznek fűtési költségmegosztóval, a Vhr. 17/C. § (1c) bekezdésében rögzített határidőben, de legkésőbb 2027. január 31-ig kötelesek nyilatkozni a távhőszolgáltatónak a Vhr. 17/C. § (1a) bekezdésében előírt átalakítás megvalósításáról, illetve annak mellőzése esetén a Vhr. 17/C. § (1d) bekezdésben előírt átalakítás megvalósításáról vagy annak mellőzéséről.</w:t>
      </w:r>
    </w:p>
    <w:p w14:paraId="36495497"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 xml:space="preserve">(2) Az (1) bekezdés szerinti bármely átalakítás megvalósítása esetén a felhasználók a bejelentés megtételét követő első fűtési idénytől, de legkésőbb a 2027. október 15-től induló fűtési idénytől kezdődően - a Vhr. vonatkozó rendelkezéseire is figyelemmel - a </w:t>
      </w:r>
      <w:r w:rsidRPr="00D741C5">
        <w:rPr>
          <w:rFonts w:ascii="Arial" w:eastAsia="Noto Serif CJK SC" w:hAnsi="Arial" w:cs="Arial"/>
        </w:rPr>
        <w:lastRenderedPageBreak/>
        <w:t>fűtési költségmegosztó alapján havonta kiszámított arányok szerinti díjmegosztásra kötelesek áttérni.</w:t>
      </w:r>
    </w:p>
    <w:p w14:paraId="363EEBD0"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(3) Ha a felhasználó az (1) bekezdés szerint a Vhr. 17/C. § (1d) bekezdésében előírt átalakítás mellőzéséről nyilatkozik, vagy a nyilatkozat megtételét elmulasztja, a jegyző a távhőszolgáltató adatszolgáltatása alapján, a távhőszolgáltató közreműködésével megvizsgálja a Vhr. 17/E. § (3a) bekezdésben foglalt jogkövetkezmény alkalmazásának lehetőségét. Amennyiben a jegyző megállapítja, hogy a felhasználó a</w:t>
      </w:r>
      <w:r w:rsidRPr="00D741C5">
        <w:rPr>
          <w:rFonts w:ascii="Arial" w:eastAsia="Times New Roman" w:hAnsi="Arial" w:cs="Arial"/>
          <w:color w:val="222222"/>
          <w:kern w:val="0"/>
          <w:u w:val="single"/>
          <w:lang w:eastAsia="hu-HU" w:bidi="ar-SA"/>
        </w:rPr>
        <w:t xml:space="preserve"> </w:t>
      </w:r>
      <w:proofErr w:type="spellStart"/>
      <w:r w:rsidRPr="00D741C5">
        <w:rPr>
          <w:rFonts w:ascii="Arial" w:eastAsia="Times New Roman" w:hAnsi="Arial" w:cs="Arial"/>
          <w:color w:val="222222"/>
          <w:kern w:val="0"/>
          <w:lang w:eastAsia="hu-HU" w:bidi="ar-SA"/>
        </w:rPr>
        <w:t>Tszt</w:t>
      </w:r>
      <w:proofErr w:type="spellEnd"/>
      <w:r w:rsidRPr="00D741C5">
        <w:rPr>
          <w:rFonts w:ascii="Arial" w:eastAsia="Times New Roman" w:hAnsi="Arial" w:cs="Arial"/>
          <w:color w:val="222222"/>
          <w:kern w:val="0"/>
          <w:lang w:eastAsia="hu-HU" w:bidi="ar-SA"/>
        </w:rPr>
        <w:t xml:space="preserve">. 43. § (5b) bekezdése szerinti kötelezettséget a </w:t>
      </w:r>
      <w:proofErr w:type="spellStart"/>
      <w:r w:rsidRPr="00D741C5">
        <w:rPr>
          <w:rFonts w:ascii="Arial" w:eastAsia="Times New Roman" w:hAnsi="Arial" w:cs="Arial"/>
          <w:color w:val="222222"/>
          <w:kern w:val="0"/>
          <w:lang w:eastAsia="hu-HU" w:bidi="ar-SA"/>
        </w:rPr>
        <w:t>Tszt</w:t>
      </w:r>
      <w:proofErr w:type="spellEnd"/>
      <w:r w:rsidRPr="00D741C5">
        <w:rPr>
          <w:rFonts w:ascii="Arial" w:eastAsia="Times New Roman" w:hAnsi="Arial" w:cs="Arial"/>
          <w:color w:val="222222"/>
          <w:kern w:val="0"/>
          <w:lang w:eastAsia="hu-HU" w:bidi="ar-SA"/>
        </w:rPr>
        <w:t>. 59/C. §-ban meghatározott határidőn belül nem teljesítette és a kötelezettség alóli mentessége nem igazolt, megállapítja a Vhr. 17/E. § (3a) bekezdésben foglalt jogkövetkezmény felhasználóval szembeni alkalmazását, és szükség szerint felhívja a felhasználót a költséghatékonysági vizsgálat elvégeztetésére.</w:t>
      </w:r>
    </w:p>
    <w:p w14:paraId="26E964EE"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(4) A Vhr. 8. melléklete szerinti „Megtakarítási arány (E)” értéke: 0,1.</w:t>
      </w:r>
    </w:p>
    <w:p w14:paraId="62D1B42F" w14:textId="77777777" w:rsidR="00D741C5" w:rsidRPr="00D741C5" w:rsidRDefault="00D741C5" w:rsidP="00D741C5">
      <w:pPr>
        <w:spacing w:before="240" w:after="240"/>
        <w:jc w:val="both"/>
        <w:rPr>
          <w:rFonts w:ascii="Arial" w:eastAsia="Noto Serif CJK SC" w:hAnsi="Arial" w:cs="Arial"/>
        </w:rPr>
      </w:pPr>
      <w:r w:rsidRPr="00D741C5">
        <w:rPr>
          <w:rFonts w:ascii="Arial" w:eastAsia="Noto Serif CJK SC" w:hAnsi="Arial" w:cs="Arial"/>
        </w:rPr>
        <w:t>(5) E rendeletnek történő megfelelést a jegyző a távhőszolgáltató adatszolgáltatása alapján, a távhőszolgáltató közreműködésével ellenőrzi, és dönt a Vhr.-ben foglalt jogkövetkezmények alkalmazásáról.”</w:t>
      </w:r>
    </w:p>
    <w:p w14:paraId="21FA51FB"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16. §</w:t>
      </w:r>
    </w:p>
    <w:p w14:paraId="1B27DB09"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52. és 53. §-a helyébe a következő rendelkezések lépnek:</w:t>
      </w:r>
    </w:p>
    <w:p w14:paraId="630A9B5E"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„52. §</w:t>
      </w:r>
    </w:p>
    <w:p w14:paraId="28F760B5"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(1) A fűtési célú távhőszolgáltatás hődíját</w:t>
      </w:r>
    </w:p>
    <w:p w14:paraId="3545C763"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a)</w:t>
      </w:r>
      <w:r w:rsidRPr="00D741C5">
        <w:rPr>
          <w:rFonts w:ascii="Arial" w:eastAsia="Noto Serif CJK SC" w:hAnsi="Arial" w:cs="Arial"/>
        </w:rPr>
        <w:tab/>
        <w:t>a felhasználási hely épületrészeiben elhelyezett fűtési költségmegosztók adatai, vagy</w:t>
      </w:r>
    </w:p>
    <w:p w14:paraId="50FEED51"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b)</w:t>
      </w:r>
      <w:r w:rsidRPr="00D741C5">
        <w:rPr>
          <w:rFonts w:ascii="Arial" w:eastAsia="Noto Serif CJK SC" w:hAnsi="Arial" w:cs="Arial"/>
        </w:rPr>
        <w:tab/>
        <w:t>fűtési költségmegosztók alkalmazásának hiányában a felhasználási hely épületrészeinek légtérfogata</w:t>
      </w:r>
    </w:p>
    <w:p w14:paraId="5EE319C9"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alapján kell a díjfizetők között megosztani.</w:t>
      </w:r>
    </w:p>
    <w:p w14:paraId="49611A4C"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(2) A vízfelmelegítés-szolgáltatás</w:t>
      </w:r>
    </w:p>
    <w:p w14:paraId="2D3AAD21"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a)</w:t>
      </w:r>
      <w:r w:rsidRPr="00D741C5">
        <w:rPr>
          <w:rFonts w:ascii="Arial" w:eastAsia="Noto Serif CJK SC" w:hAnsi="Arial" w:cs="Arial"/>
        </w:rPr>
        <w:tab/>
        <w:t>alapdíját a felhasználási hely épületrészeinek légtérfogata alapján arányosan felosztva,</w:t>
      </w:r>
    </w:p>
    <w:p w14:paraId="3F108475"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b)</w:t>
      </w:r>
      <w:r w:rsidRPr="00D741C5">
        <w:rPr>
          <w:rFonts w:ascii="Arial" w:eastAsia="Noto Serif CJK SC" w:hAnsi="Arial" w:cs="Arial"/>
        </w:rPr>
        <w:tab/>
        <w:t>hődíját a 39. § (1) és (4) bekezdése alapján</w:t>
      </w:r>
    </w:p>
    <w:p w14:paraId="77B6628E"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kell a díjfizetők részére meghatározni.</w:t>
      </w:r>
    </w:p>
    <w:p w14:paraId="2AEFCA90"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(3) Szolgáltatói hőközpontból történő hőellátás esetén a felhasználók a felhasználói hőelosztóban vagy az épület főelzárója után mellékmérőt szereltethetnek fel az épületek távhőfelhasználási arányának megállapítása céljából.</w:t>
      </w:r>
    </w:p>
    <w:p w14:paraId="4C3ABC38" w14:textId="77777777" w:rsidR="00D741C5" w:rsidRPr="00D741C5" w:rsidRDefault="00D741C5" w:rsidP="00D741C5">
      <w:pPr>
        <w:spacing w:before="240"/>
        <w:jc w:val="both"/>
        <w:rPr>
          <w:rFonts w:ascii="Arial" w:eastAsia="Noto Serif CJK SC" w:hAnsi="Arial" w:cs="Arial"/>
        </w:rPr>
      </w:pPr>
      <w:r w:rsidRPr="00D741C5">
        <w:rPr>
          <w:rFonts w:ascii="Arial" w:eastAsia="Noto Serif CJK SC" w:hAnsi="Arial" w:cs="Arial"/>
        </w:rPr>
        <w:t>(4) Amennyiben az egyes felhasználók által vételezett távhőmennyiség a (3) bekezdés szerint nem határozható meg, a felhasználóknak a hőfelhasználás arányának meghatározására vonatkozó eltérő megállapodása hiányában a távhőszolgáltató az egyes felhasználókra jutó távhőfelhasználás arányát</w:t>
      </w:r>
    </w:p>
    <w:p w14:paraId="04539C3F"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a)</w:t>
      </w:r>
      <w:r w:rsidRPr="00D741C5">
        <w:rPr>
          <w:rFonts w:ascii="Arial" w:eastAsia="Noto Serif CJK SC" w:hAnsi="Arial" w:cs="Arial"/>
        </w:rPr>
        <w:tab/>
        <w:t>fűtési célú távhőfelhasználás esetén a felhasználási helyek, illetve a felhasználási helyek épületrészeinek légtérfogata alapján,</w:t>
      </w:r>
    </w:p>
    <w:p w14:paraId="169DBF95"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b)</w:t>
      </w:r>
      <w:r w:rsidRPr="00D741C5">
        <w:rPr>
          <w:rFonts w:ascii="Arial" w:eastAsia="Noto Serif CJK SC" w:hAnsi="Arial" w:cs="Arial"/>
        </w:rPr>
        <w:tab/>
        <w:t>vízfelmelegítés-szolgáltatás esetén a felhasznált melegvíz-mennyiség alapján</w:t>
      </w:r>
    </w:p>
    <w:p w14:paraId="3CCB6E6D"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kell megosztani a felhasználók és a díjfizetők között.</w:t>
      </w:r>
    </w:p>
    <w:p w14:paraId="63582762"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lastRenderedPageBreak/>
        <w:t>53. §</w:t>
      </w:r>
    </w:p>
    <w:p w14:paraId="47EBC7FF" w14:textId="77777777" w:rsidR="00D741C5" w:rsidRPr="00D741C5" w:rsidRDefault="00D741C5" w:rsidP="00D741C5">
      <w:pPr>
        <w:spacing w:after="240"/>
        <w:jc w:val="both"/>
        <w:rPr>
          <w:rFonts w:ascii="Arial" w:eastAsia="Noto Serif CJK SC" w:hAnsi="Arial" w:cs="Arial"/>
        </w:rPr>
      </w:pPr>
      <w:proofErr w:type="spellStart"/>
      <w:r w:rsidRPr="00D741C5">
        <w:rPr>
          <w:rFonts w:ascii="Arial" w:eastAsia="Noto Serif CJK SC" w:hAnsi="Arial" w:cs="Arial"/>
        </w:rPr>
        <w:t>Épületrészenkénti</w:t>
      </w:r>
      <w:proofErr w:type="spellEnd"/>
      <w:r w:rsidRPr="00D741C5">
        <w:rPr>
          <w:rFonts w:ascii="Arial" w:eastAsia="Noto Serif CJK SC" w:hAnsi="Arial" w:cs="Arial"/>
        </w:rPr>
        <w:t xml:space="preserve"> díjmegosztás esetén a felhasználó minden számlázási időszakban köteles a távhőszolgáltató által meghatározott időpontig, írásban, a távhőszolgáltató által előírt formában bejelenteni a számla kiállításához szükséges adatokat. E kötelezettség elmulasztása esetén a távhőszolgáltató a felhasználói vagy a szolgáltatói hőközpontban elhelyezett hőmennyiségmérő által mért fogyasztás díját az 52. § (1) bekezdés b) pontja, az 52. § (2) bekezdés a) pontja, illetve az 52. § (4) bekezdése szerint osztja fel.”</w:t>
      </w:r>
    </w:p>
    <w:p w14:paraId="3B6462F8"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17. §</w:t>
      </w:r>
    </w:p>
    <w:p w14:paraId="15359C10"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A rendelet a következő 56/A. §-</w:t>
      </w:r>
      <w:proofErr w:type="spellStart"/>
      <w:r w:rsidRPr="00D741C5">
        <w:rPr>
          <w:rFonts w:ascii="Arial" w:eastAsia="Noto Serif CJK SC" w:hAnsi="Arial" w:cs="Arial"/>
        </w:rPr>
        <w:t>sal</w:t>
      </w:r>
      <w:proofErr w:type="spellEnd"/>
      <w:r w:rsidRPr="00D741C5">
        <w:rPr>
          <w:rFonts w:ascii="Arial" w:eastAsia="Noto Serif CJK SC" w:hAnsi="Arial" w:cs="Arial"/>
        </w:rPr>
        <w:t xml:space="preserve"> egészül ki:</w:t>
      </w:r>
    </w:p>
    <w:p w14:paraId="44B0CEBB"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„56/A. §</w:t>
      </w:r>
    </w:p>
    <w:p w14:paraId="4DF7A942" w14:textId="77777777" w:rsidR="00D741C5" w:rsidRPr="00D741C5" w:rsidRDefault="00D741C5" w:rsidP="00D741C5">
      <w:pPr>
        <w:spacing w:after="240"/>
        <w:jc w:val="both"/>
        <w:rPr>
          <w:rFonts w:ascii="Arial" w:eastAsia="Noto Serif CJK SC" w:hAnsi="Arial" w:cs="Arial"/>
        </w:rPr>
      </w:pPr>
      <w:r w:rsidRPr="00D741C5">
        <w:rPr>
          <w:rFonts w:ascii="Arial" w:eastAsia="Noto Serif CJK SC" w:hAnsi="Arial" w:cs="Arial"/>
        </w:rPr>
        <w:t xml:space="preserve">E rendeletnek a távhőszolgáltatásról, a távhőszolgáltatási díjak megállapításáról és a díjalkalmazás feltételeiről szóló 18/2017. (V. 3.) önkormányzati rendelet módosításáról szóló 27/2026. (X.5.) önkormányzati rendelettel (a továbbiakban: </w:t>
      </w:r>
      <w:proofErr w:type="spellStart"/>
      <w:r w:rsidRPr="00D741C5">
        <w:rPr>
          <w:rFonts w:ascii="Arial" w:eastAsia="Noto Serif CJK SC" w:hAnsi="Arial" w:cs="Arial"/>
        </w:rPr>
        <w:t>Mód.R</w:t>
      </w:r>
      <w:proofErr w:type="spellEnd"/>
      <w:r w:rsidRPr="00D741C5">
        <w:rPr>
          <w:rFonts w:ascii="Arial" w:eastAsia="Noto Serif CJK SC" w:hAnsi="Arial" w:cs="Arial"/>
        </w:rPr>
        <w:t xml:space="preserve">.) megállapított 15. §-át, 15/A §-át, 19. §-át, 44. §-át, 51/A. §-át, 52. §-át és 53. §-át a </w:t>
      </w:r>
      <w:proofErr w:type="spellStart"/>
      <w:r w:rsidRPr="00D741C5">
        <w:rPr>
          <w:rFonts w:ascii="Arial" w:eastAsia="Noto Serif CJK SC" w:hAnsi="Arial" w:cs="Arial"/>
        </w:rPr>
        <w:t>Mód.R</w:t>
      </w:r>
      <w:proofErr w:type="spellEnd"/>
      <w:r w:rsidRPr="00D741C5">
        <w:rPr>
          <w:rFonts w:ascii="Arial" w:eastAsia="Noto Serif CJK SC" w:hAnsi="Arial" w:cs="Arial"/>
        </w:rPr>
        <w:t>. hatálybalépésekor fennálló jogviszonyokra is alkalmazni kell.”</w:t>
      </w:r>
    </w:p>
    <w:p w14:paraId="31253433"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18. §</w:t>
      </w:r>
    </w:p>
    <w:p w14:paraId="7B505F97"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Hatályát veszti a rendelet</w:t>
      </w:r>
    </w:p>
    <w:p w14:paraId="5570269B"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a)</w:t>
      </w:r>
      <w:r w:rsidRPr="00D741C5">
        <w:rPr>
          <w:rFonts w:ascii="Arial" w:eastAsia="Noto Serif CJK SC" w:hAnsi="Arial" w:cs="Arial"/>
        </w:rPr>
        <w:tab/>
        <w:t>7. §-a,</w:t>
      </w:r>
    </w:p>
    <w:p w14:paraId="4A85E0CC"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b)</w:t>
      </w:r>
      <w:r w:rsidRPr="00D741C5">
        <w:rPr>
          <w:rFonts w:ascii="Arial" w:eastAsia="Noto Serif CJK SC" w:hAnsi="Arial" w:cs="Arial"/>
        </w:rPr>
        <w:tab/>
        <w:t>20. és 21. §-a,</w:t>
      </w:r>
    </w:p>
    <w:p w14:paraId="0D0DDFCF" w14:textId="77777777" w:rsidR="00D741C5" w:rsidRPr="00D741C5" w:rsidRDefault="00D741C5" w:rsidP="00D741C5">
      <w:pPr>
        <w:ind w:left="580" w:hanging="560"/>
        <w:jc w:val="both"/>
        <w:rPr>
          <w:rFonts w:ascii="Arial" w:eastAsia="Noto Serif CJK SC" w:hAnsi="Arial" w:cs="Arial"/>
        </w:rPr>
      </w:pPr>
      <w:r w:rsidRPr="00D741C5">
        <w:rPr>
          <w:rFonts w:ascii="Arial" w:eastAsia="Noto Serif CJK SC" w:hAnsi="Arial" w:cs="Arial"/>
          <w:i/>
          <w:iCs/>
        </w:rPr>
        <w:t>c)</w:t>
      </w:r>
      <w:r w:rsidRPr="00D741C5">
        <w:rPr>
          <w:rFonts w:ascii="Arial" w:eastAsia="Noto Serif CJK SC" w:hAnsi="Arial" w:cs="Arial"/>
        </w:rPr>
        <w:tab/>
        <w:t>54. §-a.</w:t>
      </w:r>
    </w:p>
    <w:p w14:paraId="684FB8AD" w14:textId="77777777" w:rsidR="00D741C5" w:rsidRPr="00D741C5" w:rsidRDefault="00D741C5" w:rsidP="00D741C5">
      <w:pPr>
        <w:spacing w:before="240" w:after="240"/>
        <w:jc w:val="center"/>
        <w:rPr>
          <w:rFonts w:ascii="Arial" w:eastAsia="Noto Serif CJK SC" w:hAnsi="Arial" w:cs="Arial"/>
          <w:b/>
          <w:bCs/>
        </w:rPr>
      </w:pPr>
      <w:r w:rsidRPr="00D741C5">
        <w:rPr>
          <w:rFonts w:ascii="Arial" w:eastAsia="Noto Serif CJK SC" w:hAnsi="Arial" w:cs="Arial"/>
          <w:b/>
          <w:bCs/>
        </w:rPr>
        <w:t>19. §</w:t>
      </w:r>
    </w:p>
    <w:p w14:paraId="556CB2B1" w14:textId="77777777" w:rsidR="00D741C5" w:rsidRPr="00D741C5" w:rsidRDefault="00D741C5" w:rsidP="00D741C5">
      <w:pPr>
        <w:jc w:val="both"/>
        <w:rPr>
          <w:rFonts w:ascii="Arial" w:eastAsia="Noto Serif CJK SC" w:hAnsi="Arial" w:cs="Arial"/>
        </w:rPr>
      </w:pPr>
      <w:r w:rsidRPr="00D741C5">
        <w:rPr>
          <w:rFonts w:ascii="Arial" w:eastAsia="Noto Serif CJK SC" w:hAnsi="Arial" w:cs="Arial"/>
        </w:rPr>
        <w:t>Ez a rendelet a kihirdetését követő 31. napon lép hatályba.</w:t>
      </w:r>
    </w:p>
    <w:p w14:paraId="46101514" w14:textId="77777777" w:rsidR="00D741C5" w:rsidRPr="00D741C5" w:rsidRDefault="00D741C5" w:rsidP="00D741C5">
      <w:pPr>
        <w:spacing w:before="150" w:after="150"/>
        <w:ind w:right="150"/>
        <w:jc w:val="both"/>
        <w:rPr>
          <w:rFonts w:ascii="Arial" w:eastAsia="Noto Serif CJK SC" w:hAnsi="Arial" w:cs="Arial"/>
        </w:rPr>
      </w:pPr>
    </w:p>
    <w:p w14:paraId="0C826571" w14:textId="77777777" w:rsidR="00AB2F63" w:rsidRPr="00AB2F63" w:rsidRDefault="00AB2F63" w:rsidP="00AB2F63">
      <w:pPr>
        <w:jc w:val="both"/>
        <w:rPr>
          <w:rFonts w:ascii="Arial" w:eastAsia="Noto Serif CJK SC" w:hAnsi="Arial" w:cs="Arial"/>
        </w:rPr>
      </w:pPr>
    </w:p>
    <w:p w14:paraId="017A62D1" w14:textId="77777777" w:rsidR="00AB2F63" w:rsidRPr="00AB2F63" w:rsidRDefault="00AB2F63" w:rsidP="00AB2F63">
      <w:pPr>
        <w:jc w:val="both"/>
        <w:rPr>
          <w:rFonts w:ascii="Arial" w:eastAsia="Noto Serif CJK SC" w:hAnsi="Arial" w:cs="Arial"/>
        </w:rPr>
      </w:pPr>
    </w:p>
    <w:p w14:paraId="54BBBED5" w14:textId="77777777" w:rsidR="00567B7C" w:rsidRDefault="00567B7C" w:rsidP="007D0827">
      <w:pPr>
        <w:jc w:val="both"/>
        <w:rPr>
          <w:rFonts w:ascii="Arial" w:hAnsi="Arial" w:cs="Arial"/>
          <w:b/>
          <w:bCs/>
        </w:rPr>
      </w:pPr>
    </w:p>
    <w:p w14:paraId="515BEB04" w14:textId="77777777" w:rsidR="009158C0" w:rsidRPr="00861EFB" w:rsidRDefault="009158C0" w:rsidP="007D0827">
      <w:pPr>
        <w:jc w:val="both"/>
        <w:rPr>
          <w:rFonts w:ascii="Arial" w:hAnsi="Arial" w:cs="Arial"/>
          <w:b/>
          <w:bCs/>
        </w:rPr>
      </w:pPr>
    </w:p>
    <w:p w14:paraId="526B039C" w14:textId="77777777" w:rsidR="007D0827" w:rsidRPr="00861EFB" w:rsidRDefault="007D0827" w:rsidP="007D0827">
      <w:pPr>
        <w:jc w:val="both"/>
        <w:rPr>
          <w:rFonts w:ascii="Arial" w:hAnsi="Arial" w:cs="Arial"/>
          <w:kern w:val="3"/>
        </w:rPr>
      </w:pPr>
    </w:p>
    <w:p w14:paraId="6E7652DB" w14:textId="77777777" w:rsidR="007D0827" w:rsidRDefault="007D0827" w:rsidP="007D0827">
      <w:pPr>
        <w:tabs>
          <w:tab w:val="center" w:pos="2340"/>
          <w:tab w:val="center" w:pos="6840"/>
        </w:tabs>
        <w:jc w:val="both"/>
        <w:rPr>
          <w:rFonts w:ascii="Arial" w:eastAsia="Times New Roman" w:hAnsi="Arial" w:cs="Arial"/>
          <w:lang w:eastAsia="hu-HU"/>
        </w:rPr>
      </w:pPr>
      <w:r>
        <w:rPr>
          <w:rFonts w:ascii="Arial" w:eastAsia="Times New Roman" w:hAnsi="Arial" w:cs="Arial"/>
          <w:lang w:eastAsia="hu-HU"/>
        </w:rPr>
        <w:tab/>
        <w:t xml:space="preserve">Fenyves Péter </w:t>
      </w:r>
      <w:r>
        <w:rPr>
          <w:rFonts w:ascii="Arial" w:eastAsia="Times New Roman" w:hAnsi="Arial" w:cs="Arial"/>
          <w:lang w:eastAsia="hu-HU"/>
        </w:rPr>
        <w:tab/>
        <w:t>Dr. Taba Nikoletta</w:t>
      </w:r>
    </w:p>
    <w:p w14:paraId="4C559DEF" w14:textId="77777777" w:rsidR="007D0827" w:rsidRDefault="007D0827" w:rsidP="007D0827">
      <w:pPr>
        <w:tabs>
          <w:tab w:val="center" w:pos="2340"/>
          <w:tab w:val="center" w:pos="6840"/>
        </w:tabs>
        <w:jc w:val="both"/>
        <w:rPr>
          <w:rFonts w:ascii="Arial" w:eastAsia="Times New Roman" w:hAnsi="Arial" w:cs="Arial"/>
          <w:lang w:eastAsia="hu-HU"/>
        </w:rPr>
      </w:pPr>
      <w:r>
        <w:rPr>
          <w:rFonts w:ascii="Arial" w:eastAsia="Times New Roman" w:hAnsi="Arial" w:cs="Arial"/>
          <w:lang w:eastAsia="hu-HU"/>
        </w:rPr>
        <w:tab/>
        <w:t>polgármester</w:t>
      </w:r>
      <w:r>
        <w:rPr>
          <w:rFonts w:ascii="Arial" w:eastAsia="Times New Roman" w:hAnsi="Arial" w:cs="Arial"/>
          <w:lang w:eastAsia="hu-HU"/>
        </w:rPr>
        <w:tab/>
        <w:t>jegyző</w:t>
      </w:r>
    </w:p>
    <w:p w14:paraId="0B98B5C4" w14:textId="77777777" w:rsidR="007D0827" w:rsidRDefault="007D0827" w:rsidP="007D0827">
      <w:pPr>
        <w:tabs>
          <w:tab w:val="center" w:pos="2340"/>
          <w:tab w:val="center" w:pos="6840"/>
        </w:tabs>
        <w:jc w:val="both"/>
        <w:rPr>
          <w:rFonts w:ascii="Arial" w:eastAsia="Times New Roman" w:hAnsi="Arial" w:cs="Arial"/>
          <w:sz w:val="20"/>
          <w:szCs w:val="20"/>
          <w:lang w:eastAsia="hu-HU"/>
        </w:rPr>
      </w:pPr>
    </w:p>
    <w:p w14:paraId="7C81CECE" w14:textId="77777777" w:rsidR="007D0827" w:rsidRDefault="007D0827" w:rsidP="007D0827">
      <w:pPr>
        <w:tabs>
          <w:tab w:val="center" w:pos="2340"/>
          <w:tab w:val="center" w:pos="6840"/>
        </w:tabs>
        <w:jc w:val="both"/>
        <w:rPr>
          <w:rFonts w:ascii="Arial" w:eastAsia="Times New Roman" w:hAnsi="Arial" w:cs="Arial"/>
          <w:lang w:eastAsia="hu-HU"/>
        </w:rPr>
      </w:pPr>
    </w:p>
    <w:p w14:paraId="01C2ACE5" w14:textId="77777777" w:rsidR="009158C0" w:rsidRDefault="009158C0" w:rsidP="007D0827">
      <w:pPr>
        <w:tabs>
          <w:tab w:val="center" w:pos="2340"/>
          <w:tab w:val="center" w:pos="6840"/>
        </w:tabs>
        <w:jc w:val="both"/>
        <w:rPr>
          <w:rFonts w:ascii="Arial" w:eastAsia="Times New Roman" w:hAnsi="Arial" w:cs="Arial"/>
          <w:lang w:eastAsia="hu-HU"/>
        </w:rPr>
      </w:pPr>
    </w:p>
    <w:p w14:paraId="64A511EC" w14:textId="77777777" w:rsidR="009158C0" w:rsidRDefault="009158C0" w:rsidP="007D0827">
      <w:pPr>
        <w:tabs>
          <w:tab w:val="center" w:pos="2340"/>
          <w:tab w:val="center" w:pos="6840"/>
        </w:tabs>
        <w:jc w:val="both"/>
        <w:rPr>
          <w:rFonts w:ascii="Arial" w:eastAsia="Times New Roman" w:hAnsi="Arial" w:cs="Arial"/>
          <w:lang w:eastAsia="hu-HU"/>
        </w:rPr>
      </w:pPr>
    </w:p>
    <w:p w14:paraId="1AE7B44B" w14:textId="77777777" w:rsidR="007D0827" w:rsidRDefault="007D0827" w:rsidP="007D0827">
      <w:pPr>
        <w:tabs>
          <w:tab w:val="center" w:pos="2340"/>
          <w:tab w:val="center" w:pos="6840"/>
        </w:tabs>
        <w:jc w:val="both"/>
        <w:rPr>
          <w:rFonts w:ascii="Arial" w:eastAsia="Times New Roman" w:hAnsi="Arial" w:cs="Arial"/>
          <w:lang w:eastAsia="hu-HU"/>
        </w:rPr>
      </w:pPr>
      <w:r>
        <w:rPr>
          <w:rFonts w:ascii="Arial" w:eastAsia="Times New Roman" w:hAnsi="Arial" w:cs="Arial"/>
          <w:lang w:eastAsia="hu-HU"/>
        </w:rPr>
        <w:t>Záradék:</w:t>
      </w:r>
    </w:p>
    <w:p w14:paraId="45FC53AC" w14:textId="4397025D" w:rsidR="007D0827" w:rsidRDefault="007D0827" w:rsidP="007D0827">
      <w:pPr>
        <w:tabs>
          <w:tab w:val="center" w:pos="2340"/>
          <w:tab w:val="center" w:pos="6840"/>
        </w:tabs>
        <w:jc w:val="both"/>
        <w:rPr>
          <w:rFonts w:ascii="Arial" w:eastAsia="Times New Roman" w:hAnsi="Arial" w:cs="Arial"/>
          <w:lang w:eastAsia="hu-HU"/>
        </w:rPr>
      </w:pPr>
      <w:r>
        <w:rPr>
          <w:rFonts w:ascii="Arial" w:eastAsia="Times New Roman" w:hAnsi="Arial" w:cs="Arial"/>
          <w:lang w:eastAsia="hu-HU"/>
        </w:rPr>
        <w:t xml:space="preserve">A rendeletet 2026. </w:t>
      </w:r>
      <w:r w:rsidR="009E0671">
        <w:rPr>
          <w:rFonts w:ascii="Arial" w:eastAsia="Times New Roman" w:hAnsi="Arial" w:cs="Arial"/>
          <w:lang w:eastAsia="hu-HU"/>
        </w:rPr>
        <w:t>október 5</w:t>
      </w:r>
      <w:r>
        <w:rPr>
          <w:rFonts w:ascii="Arial" w:eastAsia="Times New Roman" w:hAnsi="Arial" w:cs="Arial"/>
          <w:lang w:eastAsia="hu-HU"/>
        </w:rPr>
        <w:t>. napján kihirdettem.</w:t>
      </w:r>
    </w:p>
    <w:p w14:paraId="7C22D0B0" w14:textId="77777777" w:rsidR="007D0827" w:rsidRDefault="007D0827" w:rsidP="007D0827">
      <w:pPr>
        <w:tabs>
          <w:tab w:val="center" w:pos="2340"/>
          <w:tab w:val="center" w:pos="6840"/>
        </w:tabs>
        <w:jc w:val="both"/>
        <w:rPr>
          <w:rFonts w:ascii="Arial" w:eastAsia="Times New Roman" w:hAnsi="Arial" w:cs="Arial"/>
          <w:lang w:eastAsia="hu-HU"/>
        </w:rPr>
      </w:pPr>
    </w:p>
    <w:p w14:paraId="7778DD0C" w14:textId="77777777" w:rsidR="009E0671" w:rsidRDefault="009E0671" w:rsidP="007D0827">
      <w:pPr>
        <w:tabs>
          <w:tab w:val="center" w:pos="2340"/>
          <w:tab w:val="center" w:pos="6840"/>
        </w:tabs>
        <w:jc w:val="both"/>
        <w:rPr>
          <w:rFonts w:ascii="Arial" w:eastAsia="Times New Roman" w:hAnsi="Arial" w:cs="Arial"/>
          <w:lang w:eastAsia="hu-HU"/>
        </w:rPr>
      </w:pPr>
    </w:p>
    <w:p w14:paraId="5EACDCA8" w14:textId="77777777" w:rsidR="007D0827" w:rsidRDefault="007D0827" w:rsidP="007D0827">
      <w:pPr>
        <w:tabs>
          <w:tab w:val="center" w:pos="2340"/>
          <w:tab w:val="center" w:pos="6840"/>
        </w:tabs>
        <w:jc w:val="both"/>
        <w:rPr>
          <w:rFonts w:ascii="Arial" w:eastAsia="Times New Roman" w:hAnsi="Arial" w:cs="Arial"/>
          <w:lang w:eastAsia="hu-HU"/>
        </w:rPr>
      </w:pPr>
      <w:r>
        <w:rPr>
          <w:rFonts w:ascii="Arial" w:eastAsia="Times New Roman" w:hAnsi="Arial" w:cs="Arial"/>
          <w:lang w:eastAsia="hu-HU"/>
        </w:rPr>
        <w:tab/>
      </w:r>
      <w:r>
        <w:rPr>
          <w:rFonts w:ascii="Arial" w:eastAsia="Times New Roman" w:hAnsi="Arial" w:cs="Arial"/>
          <w:lang w:eastAsia="hu-HU"/>
        </w:rPr>
        <w:tab/>
        <w:t>Dr. Taba Nikoletta</w:t>
      </w:r>
    </w:p>
    <w:p w14:paraId="49A6D92E" w14:textId="6E9A7B30" w:rsidR="00A94BF2" w:rsidRPr="00857E20" w:rsidRDefault="007D0827" w:rsidP="00857E20">
      <w:pPr>
        <w:tabs>
          <w:tab w:val="center" w:pos="2340"/>
          <w:tab w:val="center" w:pos="6840"/>
        </w:tabs>
        <w:jc w:val="both"/>
      </w:pPr>
      <w:r>
        <w:rPr>
          <w:rFonts w:ascii="Arial" w:eastAsia="Times New Roman" w:hAnsi="Arial" w:cs="Arial"/>
          <w:lang w:eastAsia="hu-HU"/>
        </w:rPr>
        <w:tab/>
      </w:r>
      <w:r>
        <w:rPr>
          <w:rFonts w:ascii="Arial" w:eastAsia="Times New Roman" w:hAnsi="Arial" w:cs="Arial"/>
          <w:lang w:eastAsia="hu-HU"/>
        </w:rPr>
        <w:tab/>
        <w:t>jegyző</w:t>
      </w:r>
    </w:p>
    <w:sectPr w:rsidR="00A94BF2" w:rsidRPr="00857E20" w:rsidSect="00AB2F63">
      <w:footerReference w:type="default" r:id="rId8"/>
      <w:pgSz w:w="11906" w:h="16838"/>
      <w:pgMar w:top="1418" w:right="1418" w:bottom="1418" w:left="1418"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1E6DB" w14:textId="77777777" w:rsidR="00074BB9" w:rsidRDefault="00074BB9">
      <w:r>
        <w:separator/>
      </w:r>
    </w:p>
  </w:endnote>
  <w:endnote w:type="continuationSeparator" w:id="0">
    <w:p w14:paraId="531F2F14" w14:textId="77777777" w:rsidR="00074BB9" w:rsidRDefault="0007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sig w:usb0="E0000AFF" w:usb1="500078FF" w:usb2="00000021" w:usb3="00000000" w:csb0="000001B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OpenSymbol">
    <w:altName w:val="Segoe UI Symbol"/>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CJK SC">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99DB" w14:textId="77777777" w:rsidR="00861EFB" w:rsidRDefault="00861EFB">
    <w:pPr>
      <w:pStyle w:val="llb"/>
      <w:jc w:val="center"/>
    </w:pPr>
    <w:r>
      <w:fldChar w:fldCharType="begin"/>
    </w:r>
    <w:r>
      <w:instrText>PAGE</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02C9" w14:textId="77777777" w:rsidR="00074BB9" w:rsidRDefault="00074BB9">
      <w:r>
        <w:separator/>
      </w:r>
    </w:p>
  </w:footnote>
  <w:footnote w:type="continuationSeparator" w:id="0">
    <w:p w14:paraId="3CC95589" w14:textId="77777777" w:rsidR="00074BB9" w:rsidRDefault="00074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061D"/>
    <w:multiLevelType w:val="multilevel"/>
    <w:tmpl w:val="C4684F98"/>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C6C030C"/>
    <w:multiLevelType w:val="hybridMultilevel"/>
    <w:tmpl w:val="80084D9A"/>
    <w:lvl w:ilvl="0" w:tplc="040E0017">
      <w:start w:val="1"/>
      <w:numFmt w:val="lowerLetter"/>
      <w:lvlText w:val="%1)"/>
      <w:lvlJc w:val="left"/>
      <w:pPr>
        <w:ind w:left="765" w:hanging="360"/>
      </w:pPr>
    </w:lvl>
    <w:lvl w:ilvl="1" w:tplc="040E0019" w:tentative="1">
      <w:start w:val="1"/>
      <w:numFmt w:val="lowerLetter"/>
      <w:lvlText w:val="%2."/>
      <w:lvlJc w:val="left"/>
      <w:pPr>
        <w:ind w:left="1485" w:hanging="360"/>
      </w:pPr>
    </w:lvl>
    <w:lvl w:ilvl="2" w:tplc="040E001B" w:tentative="1">
      <w:start w:val="1"/>
      <w:numFmt w:val="lowerRoman"/>
      <w:lvlText w:val="%3."/>
      <w:lvlJc w:val="right"/>
      <w:pPr>
        <w:ind w:left="2205" w:hanging="180"/>
      </w:pPr>
    </w:lvl>
    <w:lvl w:ilvl="3" w:tplc="040E000F" w:tentative="1">
      <w:start w:val="1"/>
      <w:numFmt w:val="decimal"/>
      <w:lvlText w:val="%4."/>
      <w:lvlJc w:val="left"/>
      <w:pPr>
        <w:ind w:left="2925" w:hanging="360"/>
      </w:pPr>
    </w:lvl>
    <w:lvl w:ilvl="4" w:tplc="040E0019" w:tentative="1">
      <w:start w:val="1"/>
      <w:numFmt w:val="lowerLetter"/>
      <w:lvlText w:val="%5."/>
      <w:lvlJc w:val="left"/>
      <w:pPr>
        <w:ind w:left="3645" w:hanging="360"/>
      </w:pPr>
    </w:lvl>
    <w:lvl w:ilvl="5" w:tplc="040E001B" w:tentative="1">
      <w:start w:val="1"/>
      <w:numFmt w:val="lowerRoman"/>
      <w:lvlText w:val="%6."/>
      <w:lvlJc w:val="right"/>
      <w:pPr>
        <w:ind w:left="4365" w:hanging="180"/>
      </w:pPr>
    </w:lvl>
    <w:lvl w:ilvl="6" w:tplc="040E000F" w:tentative="1">
      <w:start w:val="1"/>
      <w:numFmt w:val="decimal"/>
      <w:lvlText w:val="%7."/>
      <w:lvlJc w:val="left"/>
      <w:pPr>
        <w:ind w:left="5085" w:hanging="360"/>
      </w:pPr>
    </w:lvl>
    <w:lvl w:ilvl="7" w:tplc="040E0019" w:tentative="1">
      <w:start w:val="1"/>
      <w:numFmt w:val="lowerLetter"/>
      <w:lvlText w:val="%8."/>
      <w:lvlJc w:val="left"/>
      <w:pPr>
        <w:ind w:left="5805" w:hanging="360"/>
      </w:pPr>
    </w:lvl>
    <w:lvl w:ilvl="8" w:tplc="040E001B" w:tentative="1">
      <w:start w:val="1"/>
      <w:numFmt w:val="lowerRoman"/>
      <w:lvlText w:val="%9."/>
      <w:lvlJc w:val="right"/>
      <w:pPr>
        <w:ind w:left="6525" w:hanging="180"/>
      </w:pPr>
    </w:lvl>
  </w:abstractNum>
  <w:num w:numId="1" w16cid:durableId="1588927164">
    <w:abstractNumId w:val="0"/>
  </w:num>
  <w:num w:numId="2" w16cid:durableId="1944150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3D"/>
    <w:rsid w:val="00001EB6"/>
    <w:rsid w:val="0003378D"/>
    <w:rsid w:val="0007316D"/>
    <w:rsid w:val="00074BB9"/>
    <w:rsid w:val="00124DDA"/>
    <w:rsid w:val="00157035"/>
    <w:rsid w:val="0016179E"/>
    <w:rsid w:val="001C205C"/>
    <w:rsid w:val="00231CE0"/>
    <w:rsid w:val="002360E7"/>
    <w:rsid w:val="00280699"/>
    <w:rsid w:val="002C4678"/>
    <w:rsid w:val="00316C49"/>
    <w:rsid w:val="00317457"/>
    <w:rsid w:val="003C67CE"/>
    <w:rsid w:val="00427888"/>
    <w:rsid w:val="00456F1C"/>
    <w:rsid w:val="004864E8"/>
    <w:rsid w:val="004D166E"/>
    <w:rsid w:val="0050683C"/>
    <w:rsid w:val="00567B7C"/>
    <w:rsid w:val="005D7981"/>
    <w:rsid w:val="0065133D"/>
    <w:rsid w:val="006F18A1"/>
    <w:rsid w:val="00700194"/>
    <w:rsid w:val="007077A1"/>
    <w:rsid w:val="00750962"/>
    <w:rsid w:val="007667E2"/>
    <w:rsid w:val="007D0827"/>
    <w:rsid w:val="007E4BD4"/>
    <w:rsid w:val="00857E20"/>
    <w:rsid w:val="00861EFB"/>
    <w:rsid w:val="00897D67"/>
    <w:rsid w:val="008D1C08"/>
    <w:rsid w:val="008F2227"/>
    <w:rsid w:val="009158C0"/>
    <w:rsid w:val="009174F2"/>
    <w:rsid w:val="009E0671"/>
    <w:rsid w:val="00A20302"/>
    <w:rsid w:val="00A46EB9"/>
    <w:rsid w:val="00A94BF2"/>
    <w:rsid w:val="00AB2F63"/>
    <w:rsid w:val="00AF1490"/>
    <w:rsid w:val="00AF7E1C"/>
    <w:rsid w:val="00B33753"/>
    <w:rsid w:val="00B40BE0"/>
    <w:rsid w:val="00B74369"/>
    <w:rsid w:val="00BE0470"/>
    <w:rsid w:val="00BF035F"/>
    <w:rsid w:val="00C05656"/>
    <w:rsid w:val="00C90257"/>
    <w:rsid w:val="00D23054"/>
    <w:rsid w:val="00D741C5"/>
    <w:rsid w:val="00DA600F"/>
    <w:rsid w:val="00E3477A"/>
    <w:rsid w:val="00E7050A"/>
    <w:rsid w:val="00F06CEE"/>
    <w:rsid w:val="00FD684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6C515"/>
  <w15:docId w15:val="{CB272F8F-10BB-4FF4-AEC1-5623EB787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link w:val="llbChar"/>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SzvegtrzsChar">
    <w:name w:val="Szövegtörzs Char"/>
    <w:basedOn w:val="Bekezdsalapbettpusa"/>
    <w:link w:val="Szvegtrzs"/>
    <w:rsid w:val="00A94BF2"/>
    <w:rPr>
      <w:rFonts w:ascii="Times New Roman" w:hAnsi="Times New Roman"/>
      <w:lang w:val="hu-HU"/>
    </w:rPr>
  </w:style>
  <w:style w:type="paragraph" w:styleId="lfej">
    <w:name w:val="header"/>
    <w:basedOn w:val="Norml"/>
    <w:link w:val="lfejChar"/>
    <w:uiPriority w:val="99"/>
    <w:unhideWhenUsed/>
    <w:rsid w:val="00A94BF2"/>
    <w:pPr>
      <w:tabs>
        <w:tab w:val="center" w:pos="4536"/>
        <w:tab w:val="right" w:pos="9072"/>
      </w:tabs>
    </w:pPr>
    <w:rPr>
      <w:rFonts w:cs="Mangal"/>
      <w:szCs w:val="21"/>
    </w:rPr>
  </w:style>
  <w:style w:type="character" w:customStyle="1" w:styleId="lfejChar">
    <w:name w:val="Élőfej Char"/>
    <w:basedOn w:val="Bekezdsalapbettpusa"/>
    <w:link w:val="lfej"/>
    <w:uiPriority w:val="99"/>
    <w:rsid w:val="00A94BF2"/>
    <w:rPr>
      <w:rFonts w:ascii="Times New Roman" w:hAnsi="Times New Roman" w:cs="Mangal"/>
      <w:szCs w:val="21"/>
      <w:lang w:val="hu-HU"/>
    </w:rPr>
  </w:style>
  <w:style w:type="character" w:customStyle="1" w:styleId="llbChar">
    <w:name w:val="Élőláb Char"/>
    <w:basedOn w:val="Bekezdsalapbettpusa"/>
    <w:link w:val="llb"/>
    <w:rsid w:val="00861EFB"/>
    <w:rPr>
      <w:rFonts w:ascii="Times New Roman" w:hAnsi="Times New Roman"/>
      <w:lang w:val="hu-HU"/>
    </w:rPr>
  </w:style>
  <w:style w:type="table" w:customStyle="1" w:styleId="Rcsostblzat1">
    <w:name w:val="Rácsos táblázat1"/>
    <w:basedOn w:val="Normltblzat"/>
    <w:next w:val="Rcsostblzat"/>
    <w:uiPriority w:val="59"/>
    <w:rsid w:val="007D0827"/>
    <w:pPr>
      <w:suppressAutoHyphens w:val="0"/>
    </w:pPr>
    <w:rPr>
      <w:rFonts w:ascii="Calibri" w:eastAsia="Calibri" w:hAnsi="Calibri" w:cs="Times New Roman"/>
      <w:kern w:val="0"/>
      <w:sz w:val="22"/>
      <w:szCs w:val="22"/>
      <w:lang w:val="hu-H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7D0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F57D0-E8B1-4C14-8205-B7A221575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1930</Words>
  <Characters>13324</Characters>
  <Application>Microsoft Office Word</Application>
  <DocSecurity>0</DocSecurity>
  <Lines>111</Lines>
  <Paragraphs>30</Paragraphs>
  <ScaleCrop>false</ScaleCrop>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Kőhidi Csilla</dc:creator>
  <dc:description/>
  <cp:lastModifiedBy>Siket-Kovács Krisztina</cp:lastModifiedBy>
  <cp:revision>2</cp:revision>
  <cp:lastPrinted>2026-10-05T05:46:00Z</cp:lastPrinted>
  <dcterms:created xsi:type="dcterms:W3CDTF">2026-10-05T05:52:00Z</dcterms:created>
  <dcterms:modified xsi:type="dcterms:W3CDTF">2026-10-05T05:52:00Z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