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B54A" w14:textId="31E511B3" w:rsidR="00491C0D" w:rsidRDefault="00491C0D" w:rsidP="00C47C4B">
      <w:pPr>
        <w:tabs>
          <w:tab w:val="center" w:pos="2340"/>
          <w:tab w:val="center" w:pos="6840"/>
        </w:tabs>
        <w:spacing w:after="0" w:line="240" w:lineRule="auto"/>
        <w:jc w:val="both"/>
        <w:rPr>
          <w:rFonts w:ascii="Arial" w:eastAsia="Times New Roman" w:hAnsi="Arial" w:cs="Arial"/>
          <w:b/>
          <w:bCs/>
          <w:iCs/>
          <w:sz w:val="24"/>
          <w:szCs w:val="24"/>
          <w:lang w:eastAsia="hu-HU"/>
        </w:rPr>
      </w:pPr>
    </w:p>
    <w:p w14:paraId="281F17FB" w14:textId="69947D9F" w:rsidR="00B37307" w:rsidRPr="00B37307" w:rsidRDefault="00B37307" w:rsidP="00B37307">
      <w:pPr>
        <w:numPr>
          <w:ilvl w:val="0"/>
          <w:numId w:val="7"/>
        </w:numPr>
        <w:spacing w:after="0" w:line="240" w:lineRule="auto"/>
        <w:contextualSpacing/>
        <w:jc w:val="right"/>
        <w:rPr>
          <w:rFonts w:ascii="Arial" w:eastAsia="Calibri" w:hAnsi="Arial" w:cs="Arial"/>
          <w:i/>
          <w:iCs/>
          <w:kern w:val="2"/>
          <w:sz w:val="24"/>
          <w:szCs w:val="24"/>
          <w:u w:val="single"/>
          <w14:ligatures w14:val="standardContextual"/>
        </w:rPr>
      </w:pPr>
      <w:bookmarkStart w:id="0" w:name="_Hlk166313986"/>
      <w:r w:rsidRPr="00B37307">
        <w:rPr>
          <w:rFonts w:ascii="Arial" w:eastAsia="Calibri" w:hAnsi="Arial" w:cs="Arial"/>
          <w:i/>
          <w:iCs/>
          <w:kern w:val="2"/>
          <w:sz w:val="24"/>
          <w:szCs w:val="24"/>
          <w:u w:val="single"/>
          <w14:ligatures w14:val="standardContextual"/>
        </w:rPr>
        <w:t xml:space="preserve">melléklet a </w:t>
      </w:r>
      <w:r w:rsidR="00F9384C">
        <w:rPr>
          <w:rFonts w:ascii="Arial" w:eastAsia="Calibri" w:hAnsi="Arial" w:cs="Arial"/>
          <w:i/>
          <w:iCs/>
          <w:kern w:val="2"/>
          <w:sz w:val="24"/>
          <w:szCs w:val="24"/>
          <w:u w:val="single"/>
          <w14:ligatures w14:val="standardContextual"/>
        </w:rPr>
        <w:t>173</w:t>
      </w:r>
      <w:r w:rsidRPr="00B37307">
        <w:rPr>
          <w:rFonts w:ascii="Arial" w:eastAsia="Calibri" w:hAnsi="Arial" w:cs="Arial"/>
          <w:i/>
          <w:iCs/>
          <w:kern w:val="2"/>
          <w:sz w:val="24"/>
          <w:szCs w:val="24"/>
          <w:u w:val="single"/>
          <w14:ligatures w14:val="standardContextual"/>
        </w:rPr>
        <w:t>/2026. (</w:t>
      </w:r>
      <w:r w:rsidR="00F9384C">
        <w:rPr>
          <w:rFonts w:ascii="Arial" w:eastAsia="Calibri" w:hAnsi="Arial" w:cs="Arial"/>
          <w:i/>
          <w:iCs/>
          <w:kern w:val="2"/>
          <w:sz w:val="24"/>
          <w:szCs w:val="24"/>
          <w:u w:val="single"/>
          <w14:ligatures w14:val="standardContextual"/>
        </w:rPr>
        <w:t>V.27.</w:t>
      </w:r>
      <w:r w:rsidRPr="00B37307">
        <w:rPr>
          <w:rFonts w:ascii="Arial" w:eastAsia="Calibri" w:hAnsi="Arial" w:cs="Arial"/>
          <w:i/>
          <w:iCs/>
          <w:kern w:val="2"/>
          <w:sz w:val="24"/>
          <w:szCs w:val="24"/>
          <w:u w:val="single"/>
          <w14:ligatures w14:val="standardContextual"/>
        </w:rPr>
        <w:t>) határozathoz</w:t>
      </w:r>
    </w:p>
    <w:p w14:paraId="4BE7C2BD" w14:textId="77777777" w:rsidR="00B37307" w:rsidRPr="00B37307" w:rsidRDefault="00B37307" w:rsidP="00B37307">
      <w:pPr>
        <w:spacing w:after="240" w:line="240" w:lineRule="auto"/>
        <w:ind w:left="720"/>
        <w:contextualSpacing/>
        <w:jc w:val="both"/>
        <w:rPr>
          <w:rFonts w:ascii="Arial" w:eastAsia="Calibri" w:hAnsi="Arial" w:cs="Arial"/>
          <w:kern w:val="2"/>
          <w:sz w:val="24"/>
          <w:szCs w:val="24"/>
          <w:u w:val="single"/>
          <w14:ligatures w14:val="standardContextual"/>
        </w:rPr>
      </w:pPr>
    </w:p>
    <w:tbl>
      <w:tblPr>
        <w:tblStyle w:val="Rcsostblzat"/>
        <w:tblW w:w="14454" w:type="dxa"/>
        <w:tblInd w:w="0" w:type="dxa"/>
        <w:tblLook w:val="04A0" w:firstRow="1" w:lastRow="0" w:firstColumn="1" w:lastColumn="0" w:noHBand="0" w:noVBand="1"/>
      </w:tblPr>
      <w:tblGrid>
        <w:gridCol w:w="750"/>
        <w:gridCol w:w="2962"/>
        <w:gridCol w:w="7902"/>
        <w:gridCol w:w="2840"/>
      </w:tblGrid>
      <w:tr w:rsidR="00B37307" w:rsidRPr="00B37307" w14:paraId="75CC7BA4" w14:textId="77777777">
        <w:tc>
          <w:tcPr>
            <w:tcW w:w="750" w:type="dxa"/>
            <w:tcBorders>
              <w:top w:val="single" w:sz="4" w:space="0" w:color="auto"/>
              <w:left w:val="single" w:sz="4" w:space="0" w:color="auto"/>
              <w:bottom w:val="single" w:sz="4" w:space="0" w:color="auto"/>
              <w:right w:val="single" w:sz="4" w:space="0" w:color="auto"/>
            </w:tcBorders>
          </w:tcPr>
          <w:p w14:paraId="15269C3D" w14:textId="77777777" w:rsidR="00B37307" w:rsidRPr="00B37307" w:rsidRDefault="00B37307" w:rsidP="00B37307">
            <w:pPr>
              <w:spacing w:line="254" w:lineRule="auto"/>
              <w:rPr>
                <w:rFonts w:ascii="Arial" w:hAnsi="Arial" w:cs="Arial"/>
                <w:sz w:val="24"/>
                <w:szCs w:val="24"/>
              </w:rPr>
            </w:pPr>
          </w:p>
        </w:tc>
        <w:tc>
          <w:tcPr>
            <w:tcW w:w="2962" w:type="dxa"/>
            <w:tcBorders>
              <w:top w:val="single" w:sz="4" w:space="0" w:color="auto"/>
              <w:left w:val="single" w:sz="4" w:space="0" w:color="auto"/>
              <w:bottom w:val="single" w:sz="4" w:space="0" w:color="auto"/>
              <w:right w:val="single" w:sz="4" w:space="0" w:color="auto"/>
            </w:tcBorders>
            <w:hideMark/>
          </w:tcPr>
          <w:p w14:paraId="05447FE5" w14:textId="77777777" w:rsidR="00B37307" w:rsidRPr="00B37307" w:rsidRDefault="00B37307" w:rsidP="00B37307">
            <w:pPr>
              <w:spacing w:line="254" w:lineRule="auto"/>
              <w:jc w:val="center"/>
              <w:rPr>
                <w:rFonts w:ascii="Arial" w:hAnsi="Arial" w:cs="Arial"/>
                <w:b/>
                <w:bCs/>
                <w:sz w:val="24"/>
                <w:szCs w:val="24"/>
              </w:rPr>
            </w:pPr>
            <w:r w:rsidRPr="00B37307">
              <w:rPr>
                <w:rFonts w:ascii="Arial" w:hAnsi="Arial" w:cs="Arial"/>
                <w:b/>
                <w:bCs/>
                <w:sz w:val="24"/>
                <w:szCs w:val="24"/>
              </w:rPr>
              <w:t>E-TÉR-ben véleményező szervezet</w:t>
            </w:r>
          </w:p>
        </w:tc>
        <w:tc>
          <w:tcPr>
            <w:tcW w:w="7902" w:type="dxa"/>
            <w:tcBorders>
              <w:top w:val="single" w:sz="4" w:space="0" w:color="auto"/>
              <w:left w:val="single" w:sz="4" w:space="0" w:color="auto"/>
              <w:bottom w:val="single" w:sz="4" w:space="0" w:color="auto"/>
              <w:right w:val="single" w:sz="4" w:space="0" w:color="auto"/>
            </w:tcBorders>
            <w:hideMark/>
          </w:tcPr>
          <w:p w14:paraId="2FEB1C5B" w14:textId="77777777" w:rsidR="00B37307" w:rsidRPr="00B37307" w:rsidRDefault="00B37307" w:rsidP="00B37307">
            <w:pPr>
              <w:spacing w:line="254" w:lineRule="auto"/>
              <w:jc w:val="center"/>
              <w:rPr>
                <w:rFonts w:ascii="Arial" w:hAnsi="Arial" w:cs="Arial"/>
                <w:b/>
                <w:bCs/>
                <w:sz w:val="24"/>
                <w:szCs w:val="24"/>
              </w:rPr>
            </w:pPr>
            <w:r w:rsidRPr="00B37307">
              <w:rPr>
                <w:rFonts w:ascii="Arial" w:hAnsi="Arial" w:cs="Arial"/>
                <w:b/>
                <w:bCs/>
                <w:sz w:val="24"/>
                <w:szCs w:val="24"/>
              </w:rPr>
              <w:t>E-TÉR-ben beérkezett vélemények</w:t>
            </w:r>
          </w:p>
        </w:tc>
        <w:tc>
          <w:tcPr>
            <w:tcW w:w="2840" w:type="dxa"/>
            <w:tcBorders>
              <w:top w:val="single" w:sz="4" w:space="0" w:color="auto"/>
              <w:left w:val="single" w:sz="4" w:space="0" w:color="auto"/>
              <w:bottom w:val="single" w:sz="4" w:space="0" w:color="auto"/>
              <w:right w:val="single" w:sz="4" w:space="0" w:color="auto"/>
            </w:tcBorders>
            <w:hideMark/>
          </w:tcPr>
          <w:p w14:paraId="69AB9052" w14:textId="77777777" w:rsidR="00B37307" w:rsidRPr="00B37307" w:rsidRDefault="00B37307" w:rsidP="00B37307">
            <w:pPr>
              <w:spacing w:line="254" w:lineRule="auto"/>
              <w:jc w:val="center"/>
              <w:rPr>
                <w:rFonts w:ascii="Arial" w:hAnsi="Arial" w:cs="Arial"/>
                <w:b/>
                <w:bCs/>
                <w:sz w:val="24"/>
                <w:szCs w:val="24"/>
              </w:rPr>
            </w:pPr>
            <w:r w:rsidRPr="00B37307">
              <w:rPr>
                <w:rFonts w:ascii="Arial" w:hAnsi="Arial" w:cs="Arial"/>
                <w:b/>
                <w:bCs/>
                <w:sz w:val="24"/>
                <w:szCs w:val="24"/>
              </w:rPr>
              <w:t>Válasz</w:t>
            </w:r>
          </w:p>
        </w:tc>
      </w:tr>
      <w:tr w:rsidR="00B37307" w:rsidRPr="00B37307" w14:paraId="4F05843F" w14:textId="77777777">
        <w:trPr>
          <w:trHeight w:val="869"/>
        </w:trPr>
        <w:tc>
          <w:tcPr>
            <w:tcW w:w="750" w:type="dxa"/>
            <w:tcBorders>
              <w:top w:val="single" w:sz="4" w:space="0" w:color="auto"/>
              <w:left w:val="single" w:sz="4" w:space="0" w:color="auto"/>
              <w:bottom w:val="single" w:sz="4" w:space="0" w:color="auto"/>
              <w:right w:val="single" w:sz="4" w:space="0" w:color="auto"/>
            </w:tcBorders>
            <w:hideMark/>
          </w:tcPr>
          <w:p w14:paraId="40B04B53"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1</w:t>
            </w:r>
          </w:p>
        </w:tc>
        <w:tc>
          <w:tcPr>
            <w:tcW w:w="2962" w:type="dxa"/>
            <w:tcBorders>
              <w:top w:val="single" w:sz="4" w:space="0" w:color="auto"/>
              <w:left w:val="single" w:sz="4" w:space="0" w:color="auto"/>
              <w:bottom w:val="single" w:sz="4" w:space="0" w:color="auto"/>
              <w:right w:val="single" w:sz="4" w:space="0" w:color="auto"/>
            </w:tcBorders>
            <w:hideMark/>
          </w:tcPr>
          <w:p w14:paraId="464675A9"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Közép-dunántúli Vízügyi Igazgatóság</w:t>
            </w:r>
          </w:p>
        </w:tc>
        <w:tc>
          <w:tcPr>
            <w:tcW w:w="7902" w:type="dxa"/>
            <w:tcBorders>
              <w:top w:val="single" w:sz="4" w:space="0" w:color="auto"/>
              <w:left w:val="single" w:sz="4" w:space="0" w:color="auto"/>
              <w:bottom w:val="single" w:sz="4" w:space="0" w:color="auto"/>
              <w:right w:val="single" w:sz="4" w:space="0" w:color="auto"/>
            </w:tcBorders>
            <w:hideMark/>
          </w:tcPr>
          <w:p w14:paraId="181CAB5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Összegzés: A rendelkezésre álló dokumentáció alapján településrendezési eszközök módosításához vízügyi szempontból hozzájárulunk.</w:t>
            </w:r>
          </w:p>
        </w:tc>
        <w:tc>
          <w:tcPr>
            <w:tcW w:w="2840" w:type="dxa"/>
            <w:tcBorders>
              <w:top w:val="single" w:sz="4" w:space="0" w:color="auto"/>
              <w:left w:val="single" w:sz="4" w:space="0" w:color="auto"/>
              <w:bottom w:val="single" w:sz="4" w:space="0" w:color="auto"/>
              <w:right w:val="single" w:sz="4" w:space="0" w:color="auto"/>
            </w:tcBorders>
            <w:hideMark/>
          </w:tcPr>
          <w:p w14:paraId="1EE4EA84"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Észrevételt köszönjük.</w:t>
            </w:r>
          </w:p>
        </w:tc>
      </w:tr>
      <w:tr w:rsidR="00B37307" w:rsidRPr="00B37307" w14:paraId="34935AF9" w14:textId="77777777">
        <w:trPr>
          <w:trHeight w:val="1816"/>
        </w:trPr>
        <w:tc>
          <w:tcPr>
            <w:tcW w:w="750" w:type="dxa"/>
            <w:tcBorders>
              <w:top w:val="single" w:sz="4" w:space="0" w:color="auto"/>
              <w:left w:val="single" w:sz="4" w:space="0" w:color="auto"/>
              <w:bottom w:val="single" w:sz="4" w:space="0" w:color="auto"/>
              <w:right w:val="single" w:sz="4" w:space="0" w:color="auto"/>
            </w:tcBorders>
            <w:hideMark/>
          </w:tcPr>
          <w:p w14:paraId="21AF4ADE"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2</w:t>
            </w:r>
          </w:p>
        </w:tc>
        <w:tc>
          <w:tcPr>
            <w:tcW w:w="2962" w:type="dxa"/>
            <w:tcBorders>
              <w:top w:val="single" w:sz="4" w:space="0" w:color="auto"/>
              <w:left w:val="single" w:sz="4" w:space="0" w:color="auto"/>
              <w:bottom w:val="single" w:sz="4" w:space="0" w:color="auto"/>
              <w:right w:val="single" w:sz="4" w:space="0" w:color="auto"/>
            </w:tcBorders>
            <w:hideMark/>
          </w:tcPr>
          <w:p w14:paraId="5CD7E24A"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Fejér Vármegyei Kormányhivatal Környezetvédelmi, Természetvédelmi és Hulladékgazdálkodási Főosztály Engedélyezési és Szakhatósági Osztály</w:t>
            </w:r>
          </w:p>
        </w:tc>
        <w:tc>
          <w:tcPr>
            <w:tcW w:w="7902" w:type="dxa"/>
            <w:tcBorders>
              <w:top w:val="single" w:sz="4" w:space="0" w:color="auto"/>
              <w:left w:val="single" w:sz="4" w:space="0" w:color="auto"/>
              <w:bottom w:val="single" w:sz="4" w:space="0" w:color="auto"/>
              <w:right w:val="single" w:sz="4" w:space="0" w:color="auto"/>
            </w:tcBorders>
            <w:hideMark/>
          </w:tcPr>
          <w:p w14:paraId="61112133"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Környezetvédelmi hatóság az FE/KTF/4368-3/2026. iktatószámon kiadott véleményében nyilatkozott, hogy a fenti módosításokhoz a környezeti vizsgálat lefolytatását nem tartja szükségesnek, ugyanakkor már ezen tervfázisban az alábbi javaslatot fogalmazta meg a továbbtervezéshez:</w:t>
            </w:r>
          </w:p>
          <w:p w14:paraId="6933861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települési infrastruktúráról, a zöldfelületi tanúsítványról és a zöld védjegyről szóló 282/2024. (IX.30.) Korm. rendelet (továbbiakban: Korm. rendelet) 3.§ (1) bekezdése alapján a településtervezés során a települési zöldinfrastruktúrát úgy kell kialakítani, hogy a település egészének és egyes részeinek, valamint a település lakosságának az adottságokhoz és szükségletekhez illeszkedő települési zöldinfrastruktúra ökoszisztéma szolgáltatásokkal való ellátása biztosított legyen.</w:t>
            </w:r>
          </w:p>
          <w:p w14:paraId="78ABA453"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Korm.rendelet 9. § (1)-(2) bekezdése értelmében a telek beépítetlen és nem burkolt felületeit állandó vagy időszakos növénytakaróval kell borítani. Amennyiben a beépítési mód lehetővé teszi, épületet annak csatlakozó burkolatait és közműhálózatát, valamint a telek gyalogos és gépjárművel történő megközelítését úgy kell tervezni, építeni, átalakítani, hogy megmaradjon vagy telepíthető legyen a környezetében a klimatikus szélsőségek mérséklésére alkalmas árnyékoló növényzet.</w:t>
            </w:r>
          </w:p>
          <w:p w14:paraId="6BCBF60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Felhívom az Önkormányzat figyelmét arra, hogy a beépített területek és környezetük klímája jelentősen eltér közvetlen természetes környezetük éghajlatától, amely a beépített, burkolt felszínek tulajdonságaival </w:t>
            </w:r>
            <w:r w:rsidRPr="00B37307">
              <w:rPr>
                <w:rFonts w:ascii="Arial" w:hAnsi="Arial" w:cs="Arial"/>
                <w:sz w:val="24"/>
                <w:szCs w:val="24"/>
              </w:rPr>
              <w:lastRenderedPageBreak/>
              <w:t>magyarázható. A burkolt felületek, a növényzet hiánya és az épületek nagy hőkapacitása azt eredményezi, hogy a légkör a környezeténél átlagosan melegebb, szárazabb és aktívabb felszíni áramlási rendszerrel bír. Ezek a hatások az éghajlatváltozás bizonyos jellemzőit felerősíthetik, ezáltal növelhetik a települések kitettségét, sérülékenységét annak méretétől, gazdasági és földrajzi helyzetétől függően.</w:t>
            </w:r>
          </w:p>
          <w:p w14:paraId="0AAAE16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Településkép szempontjából a tervezési terület „település </w:t>
            </w:r>
            <w:proofErr w:type="gramStart"/>
            <w:r w:rsidRPr="00B37307">
              <w:rPr>
                <w:rFonts w:ascii="Arial" w:hAnsi="Arial" w:cs="Arial"/>
                <w:sz w:val="24"/>
                <w:szCs w:val="24"/>
              </w:rPr>
              <w:t>kapuja”-</w:t>
            </w:r>
            <w:proofErr w:type="gramEnd"/>
            <w:r w:rsidRPr="00B37307">
              <w:rPr>
                <w:rFonts w:ascii="Arial" w:hAnsi="Arial" w:cs="Arial"/>
                <w:sz w:val="24"/>
                <w:szCs w:val="24"/>
              </w:rPr>
              <w:t xml:space="preserve">ként is funkcionál, ami meghatározza az ide érkezők első benyomását a településről. A több szintes zöldfelület az ökoszisztéma szolgáltatásokon (klímavédelem, levegőtisztaság-védelem, biológiai aktivitás…stb.) túl, fontos esztétikai szereppel is rendelkezik, éppen </w:t>
            </w:r>
            <w:proofErr w:type="gramStart"/>
            <w:r w:rsidRPr="00B37307">
              <w:rPr>
                <w:rFonts w:ascii="Arial" w:hAnsi="Arial" w:cs="Arial"/>
                <w:sz w:val="24"/>
                <w:szCs w:val="24"/>
              </w:rPr>
              <w:t>ezért</w:t>
            </w:r>
            <w:proofErr w:type="gramEnd"/>
            <w:r w:rsidRPr="00B37307">
              <w:rPr>
                <w:rFonts w:ascii="Arial" w:hAnsi="Arial" w:cs="Arial"/>
                <w:sz w:val="24"/>
                <w:szCs w:val="24"/>
              </w:rPr>
              <w:t xml:space="preserve"> ha tervezési területek esetében a 10 méteres szélességű fásítás nem tartható akár ingatlanhatárra történő áthelyezéssel, úgy a gazdasági övezethez tartozó</w:t>
            </w:r>
          </w:p>
          <w:p w14:paraId="58972648"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ingatlanokon egy összefüggő fasor telepítése - a fenti szempontokat figyelembe véve -mindenképpen indokolt a tervezési terület és a mezőgazdasági övezet határán, egyben a kül-és belterület tervezett határán.</w:t>
            </w:r>
          </w:p>
          <w:p w14:paraId="39A47285"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fentieken túl a továbbtervezés során javaslom megvizsgálni azt a helyzetet, hogy amennyiben a beruházó a Gá-9 övezetben kihasználja a maximális 70%-os beépíthetőséget, és betartja a 25%-os kötelező zöldfelületi arányt, akkor vajon elégséges marad-e az 5% -os mérték a burkolt felületek kialakítására.”</w:t>
            </w:r>
          </w:p>
          <w:p w14:paraId="74CA3466"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megküldött véleményezési dokumentációt megvizsgáltam és megállapítottam, hogy a Környezetvédelmi hatóság a fenti ültetési kötelezettségre vonatkozó szakmai javaslata nem került átvezetésre a tervezett módosításba. A véleményezési dokumentáció rögzíti, hogy részletes beépítési terv nem áll rendelkezésre a településrendezési terv módosítása </w:t>
            </w:r>
            <w:proofErr w:type="gramStart"/>
            <w:r w:rsidRPr="00B37307">
              <w:rPr>
                <w:rFonts w:ascii="Arial" w:hAnsi="Arial" w:cs="Arial"/>
                <w:sz w:val="24"/>
                <w:szCs w:val="24"/>
              </w:rPr>
              <w:t>során</w:t>
            </w:r>
            <w:proofErr w:type="gramEnd"/>
            <w:r w:rsidRPr="00B37307">
              <w:rPr>
                <w:rFonts w:ascii="Arial" w:hAnsi="Arial" w:cs="Arial"/>
                <w:sz w:val="24"/>
                <w:szCs w:val="24"/>
              </w:rPr>
              <w:t xml:space="preserve"> valamint, hogy a konkrét engedélyezési eljárás során kell bemutatni, hogy az előírt követelmények betarthatók.</w:t>
            </w:r>
          </w:p>
          <w:p w14:paraId="0C49365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Ezzel kapcsolatban a Környezetvédelmi hatóság felhívja az Önkormányzat figyelmét arra, hogy egy olyan volumenű beruházás, amely termékgyártás, késztermék kibocsátás kapacitás növelése mellett magasraktár funkció elhelyezésének szükségességét is megkívánja, ahhoz jelentős mértékű burkolt felület kialakítás is szükséges, hiszen biztosítani kell a belső utakat, parkolóhelyeket, rakodó-, és kamion dokkolóhoz szükséges tereket…stb. Amennyiben a beruházó a 70%-os beépítési lehetőségét kimeríti és betartja a 25%-os kötelező zöldfelületi arányt, a burkolt felületre hagyott 5% nagyon kevés.</w:t>
            </w:r>
          </w:p>
          <w:p w14:paraId="6FB5DEF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Engedélyezési eljárásokat követően a telek minimális zöldfelület mértékének megtarthatósága aggályossá válhat, a közlekedési infrastruktúra helyigénye a zöldfelületek megőrzését veszélyeztetheti. A Környezetvédelmi hatóság javasolja a maximális beépítési lehetőséget csökkenteni és legalább egy összefüggő fasor telepítésének kötelezettségét megjeleníteni a településrendezési eszközökben azokon a kül-és belterületet elválasztó ingatlanhatárokon, ahol a 10 méteres szélességű fásítás az Önkormányzat szerint nem tartható.</w:t>
            </w:r>
          </w:p>
          <w:p w14:paraId="2F38DC7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Tárgyi módosításokkal kapcsolatban környezetvédelmi, táj- és természetvédelmi, valamint hulladékgazdálkodási szempontból kizáró ok a Környezetvédelmi hatóság részéről nem merült fel, azonban Mór Város településtervének 9. sz. módosítását a fentiek alapos megfontolása mellett javasolja elfogadásra.</w:t>
            </w:r>
          </w:p>
        </w:tc>
        <w:tc>
          <w:tcPr>
            <w:tcW w:w="2840" w:type="dxa"/>
            <w:tcBorders>
              <w:top w:val="single" w:sz="4" w:space="0" w:color="auto"/>
              <w:left w:val="single" w:sz="4" w:space="0" w:color="auto"/>
              <w:bottom w:val="single" w:sz="4" w:space="0" w:color="auto"/>
              <w:right w:val="single" w:sz="4" w:space="0" w:color="auto"/>
            </w:tcBorders>
            <w:hideMark/>
          </w:tcPr>
          <w:p w14:paraId="336E9693"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lastRenderedPageBreak/>
              <w:t>Szöveges szabályozással a bel- és külterület határvonalára fasor telepítését írtuk elő. A beépítési % csökkentésre került.</w:t>
            </w:r>
          </w:p>
        </w:tc>
      </w:tr>
      <w:tr w:rsidR="00B37307" w:rsidRPr="00B37307" w14:paraId="7AED9EDF" w14:textId="77777777">
        <w:tc>
          <w:tcPr>
            <w:tcW w:w="750" w:type="dxa"/>
            <w:tcBorders>
              <w:top w:val="single" w:sz="4" w:space="0" w:color="auto"/>
              <w:left w:val="single" w:sz="4" w:space="0" w:color="auto"/>
              <w:bottom w:val="single" w:sz="4" w:space="0" w:color="auto"/>
              <w:right w:val="single" w:sz="4" w:space="0" w:color="auto"/>
            </w:tcBorders>
            <w:hideMark/>
          </w:tcPr>
          <w:p w14:paraId="1415C692"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lastRenderedPageBreak/>
              <w:t>3</w:t>
            </w:r>
          </w:p>
        </w:tc>
        <w:tc>
          <w:tcPr>
            <w:tcW w:w="2962" w:type="dxa"/>
            <w:tcBorders>
              <w:top w:val="single" w:sz="4" w:space="0" w:color="auto"/>
              <w:left w:val="single" w:sz="4" w:space="0" w:color="auto"/>
              <w:bottom w:val="single" w:sz="4" w:space="0" w:color="auto"/>
              <w:right w:val="single" w:sz="4" w:space="0" w:color="auto"/>
            </w:tcBorders>
            <w:hideMark/>
          </w:tcPr>
          <w:p w14:paraId="226F86CA"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Honvédelmi Minisztérium Hatósági Főosztály</w:t>
            </w:r>
          </w:p>
        </w:tc>
        <w:tc>
          <w:tcPr>
            <w:tcW w:w="7902" w:type="dxa"/>
            <w:tcBorders>
              <w:top w:val="single" w:sz="4" w:space="0" w:color="auto"/>
              <w:left w:val="single" w:sz="4" w:space="0" w:color="auto"/>
              <w:bottom w:val="single" w:sz="4" w:space="0" w:color="auto"/>
              <w:right w:val="single" w:sz="4" w:space="0" w:color="auto"/>
            </w:tcBorders>
            <w:hideMark/>
          </w:tcPr>
          <w:p w14:paraId="2B92AC41"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fenti hivatkozási számon érkezett dokumentációban foglaltak a honvédelem érdekeit nem sértik, a Magyar Honvédség nemzeti és szövetségi védelmi feladatai végrehajtása biztosított, ezért az abban foglaltakkal kapcsolatban kifogást nem emelek.</w:t>
            </w:r>
          </w:p>
          <w:p w14:paraId="34E70E49"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Tájékoztatom azonban, hogy a tárgyi tervezési területen az esetleges beépítések (különös tekintettel a középmagas vagy magas építményekre és a nagy reflexiót okozó építményekre) érinthetik a Magyar Honvédség </w:t>
            </w:r>
            <w:r w:rsidRPr="00B37307">
              <w:rPr>
                <w:rFonts w:ascii="Arial" w:hAnsi="Arial" w:cs="Arial"/>
                <w:sz w:val="24"/>
                <w:szCs w:val="24"/>
              </w:rPr>
              <w:lastRenderedPageBreak/>
              <w:t>Kormányzati Célú Elkülönült Hírközlő Hálózat részét képező mikrohullámú berendezések működését.</w:t>
            </w:r>
          </w:p>
          <w:p w14:paraId="1F1BC3B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honvédelmi és katonai, továbbá nemzetbiztonsági területek védőterületein és védőtávolságain belül – a magyar építészetről szóló 2023. évi C. törvényben (a továbbiakban: Méptv.) nevesített általános, és sajátos építményfajtáknál – az engedélyezési eljárásokba a Honvédelmi Minisztériumot, mint szakhatóságot érintettség esetén az egyes közérdeken alapuló kényszerítő indok alapján eljáró szakhatóságok kijelöléséről szóló 531/2017. (XII. 29.) Korm. rendelet alapján be kell vonni az adott építményfajtákra vonatkozó építésügyi, építésfelügyeleti, hatósági eljárások lefolytatásába.</w:t>
            </w:r>
          </w:p>
        </w:tc>
        <w:tc>
          <w:tcPr>
            <w:tcW w:w="2840" w:type="dxa"/>
            <w:tcBorders>
              <w:top w:val="single" w:sz="4" w:space="0" w:color="auto"/>
              <w:left w:val="single" w:sz="4" w:space="0" w:color="auto"/>
              <w:bottom w:val="single" w:sz="4" w:space="0" w:color="auto"/>
              <w:right w:val="single" w:sz="4" w:space="0" w:color="auto"/>
            </w:tcBorders>
            <w:hideMark/>
          </w:tcPr>
          <w:p w14:paraId="0730EC80"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lastRenderedPageBreak/>
              <w:t>Észrevételt köszönjük.</w:t>
            </w:r>
          </w:p>
        </w:tc>
      </w:tr>
      <w:tr w:rsidR="00B37307" w:rsidRPr="00B37307" w14:paraId="4018B29E" w14:textId="77777777">
        <w:tc>
          <w:tcPr>
            <w:tcW w:w="750" w:type="dxa"/>
            <w:tcBorders>
              <w:top w:val="single" w:sz="4" w:space="0" w:color="auto"/>
              <w:left w:val="single" w:sz="4" w:space="0" w:color="auto"/>
              <w:bottom w:val="single" w:sz="4" w:space="0" w:color="auto"/>
              <w:right w:val="single" w:sz="4" w:space="0" w:color="auto"/>
            </w:tcBorders>
            <w:hideMark/>
          </w:tcPr>
          <w:p w14:paraId="08F4CFF2"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4</w:t>
            </w:r>
          </w:p>
        </w:tc>
        <w:tc>
          <w:tcPr>
            <w:tcW w:w="2962" w:type="dxa"/>
            <w:tcBorders>
              <w:top w:val="single" w:sz="4" w:space="0" w:color="auto"/>
              <w:left w:val="single" w:sz="4" w:space="0" w:color="auto"/>
              <w:bottom w:val="single" w:sz="4" w:space="0" w:color="auto"/>
              <w:right w:val="single" w:sz="4" w:space="0" w:color="auto"/>
            </w:tcBorders>
            <w:hideMark/>
          </w:tcPr>
          <w:p w14:paraId="32DA1F00"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Budapest Főváros Kormányhivatala Országos Közúti és Hajózási Hatósági Főosztály</w:t>
            </w:r>
          </w:p>
          <w:p w14:paraId="74E423A8"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t>Gyorsforgalmi Útügyi Osztály</w:t>
            </w:r>
          </w:p>
        </w:tc>
        <w:tc>
          <w:tcPr>
            <w:tcW w:w="7902" w:type="dxa"/>
            <w:tcBorders>
              <w:top w:val="single" w:sz="4" w:space="0" w:color="auto"/>
              <w:left w:val="single" w:sz="4" w:space="0" w:color="auto"/>
              <w:bottom w:val="single" w:sz="4" w:space="0" w:color="auto"/>
              <w:right w:val="single" w:sz="4" w:space="0" w:color="auto"/>
            </w:tcBorders>
            <w:hideMark/>
          </w:tcPr>
          <w:p w14:paraId="6F38CA0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tervezés során figyelembe kell venni Magyarország és egyes kiemelt térségeinek területrendezési tervéről szóló 2018. évi CXXXIX. törvény előírásait, valamint összhangban kell lenni az elfogadott Fejér Vármegyei Területrendezési Tervvel. </w:t>
            </w:r>
          </w:p>
          <w:p w14:paraId="70AA90C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településrendezési tervek kötelező, alátámasztó közúti közlekedési munkarészeinek tartalmi követelményeit az e-UT 02.01.41 számú útügyi műszaki előírás határozza meg. A közlekedési javaslat készítése során a közutak tervezésére vonatkozó e-UT 03.01.11 számú útügyi műszaki előírást is be kell tartani. </w:t>
            </w:r>
          </w:p>
          <w:p w14:paraId="5A82263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közlekedési javaslat célja az, hogy a közlekedési létesítményekre vonatkozó tervezett műszaki paraméterek (pl. a közutak, vasutak elhelyezésére biztosítandó építési terület szélessége) beépítésre kerüljenek a szerkezeti tervbe, a szabályozási tervbe és a helyi építési szabályzatba. </w:t>
            </w:r>
          </w:p>
          <w:p w14:paraId="4E0033A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rendezési tervben a közúthálózati elemeket, azok tervezési osztályba sorolását úgy kell meghatározni, hogy azok megfeleljenek a közutak igazgatásáról szóló 26/2021. (VI. 28.) ITM rendeletben és a „Közutak tervezése” e-UT 03.01.11 számú útügyi műszaki előírásban foglaltaknak, valamint összhangban legyenek a kiszolgálandó területi igényekkel, a </w:t>
            </w:r>
            <w:r w:rsidRPr="00B37307">
              <w:rPr>
                <w:rFonts w:ascii="Arial" w:hAnsi="Arial" w:cs="Arial"/>
                <w:sz w:val="24"/>
                <w:szCs w:val="24"/>
              </w:rPr>
              <w:lastRenderedPageBreak/>
              <w:t xml:space="preserve">védett vagy védelemre javasolt területekre vonatkozó szabályozásokkal, a térségre vonatkoztatott környezetvédelmi előírásokkal. </w:t>
            </w:r>
          </w:p>
          <w:p w14:paraId="78C9EE7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tervezés során az utak és csomópontok helyigényét a távlati forgalmi igények alapján kell meghatározni. Figyelembe kell venni a szükséges keresztmetszeti elemeket (forgalmi sávok, parkolósávok, járdák, gyalogút, padkák, rézsűk, kerékpársávok, kerékpárút, elválasztó sáv, zöldsáv, forgalom </w:t>
            </w:r>
            <w:proofErr w:type="gramStart"/>
            <w:r w:rsidRPr="00B37307">
              <w:rPr>
                <w:rFonts w:ascii="Arial" w:hAnsi="Arial" w:cs="Arial"/>
                <w:sz w:val="24"/>
                <w:szCs w:val="24"/>
              </w:rPr>
              <w:t>elöl</w:t>
            </w:r>
            <w:proofErr w:type="gramEnd"/>
            <w:r w:rsidRPr="00B37307">
              <w:rPr>
                <w:rFonts w:ascii="Arial" w:hAnsi="Arial" w:cs="Arial"/>
                <w:sz w:val="24"/>
                <w:szCs w:val="24"/>
              </w:rPr>
              <w:t xml:space="preserve"> elzárt terület stb.), a közművek elhelyezését, valamint a vízelvezetés és az esetlegesen szükséges környezetvédelmi berendezések helyigényét is.</w:t>
            </w:r>
          </w:p>
          <w:p w14:paraId="75CF68C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keresztmetszeti méretezést azon meglévő utak esetében is el kell végezni, melyeket magasabb kategóriába sorolnak, vagy új funkciókat terveznek (új kerékpárút vagy kerékpársávok, várakozósáv, párhuzamos szervizút kialakítása, zöldsávok vagy fasorok telepítése stb.). </w:t>
            </w:r>
          </w:p>
          <w:p w14:paraId="30F2C699"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Az országos közutakat érintő új csomópontok vagy útcsatlakozások tervezésekor figyelembe kell venni a „Szintbeni közúti csomópontok méretezése és tervezése” e-UT 03.03.21 számú és a „Közutak melletti ingatlanok, kiszolgáló létesítmények útcsatlakozása” e-UT 03.02.21 számú útügyi műszaki előírásban foglaltakat. </w:t>
            </w:r>
          </w:p>
          <w:p w14:paraId="6CB9B99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közúti közlekedésről szóló, 1988. évi I. törvény (továbbiakban: Kkt.) 42/A. § (1) bekezdése szerint: </w:t>
            </w:r>
          </w:p>
          <w:p w14:paraId="2C12BAA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közút kezelőjének hozzájárulása szükséges </w:t>
            </w:r>
          </w:p>
          <w:p w14:paraId="658FE4B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külterületen a közút tengelyétől számított ötven méteren, autópálya, autóút, gyorsút és főútvonal esetén száz méteren belül építmény elhelyezéséhez, bővítéséhez, rendeltetésének megváltoztatásához, nyomvonal jellegű építmény elhelyezéséhez, bővítéséhez, kő, kavics, agyag, homok és egyéb ásványi nyersanyag kitermeléséhez, valamint a közút területének határától számított tíz méter távolságon belül fa ültetéséhez vagy kivágásához, valamint </w:t>
            </w:r>
          </w:p>
          <w:p w14:paraId="5C4571C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b) belterületen – a közút mellett – ipari, kereskedelmi, vendéglátó-ipari, továbbá egyéb szolgáltatási célú építmény építéséhez, bővítéséhez, </w:t>
            </w:r>
            <w:r w:rsidRPr="00B37307">
              <w:rPr>
                <w:rFonts w:ascii="Arial" w:hAnsi="Arial" w:cs="Arial"/>
                <w:sz w:val="24"/>
                <w:szCs w:val="24"/>
              </w:rPr>
              <w:lastRenderedPageBreak/>
              <w:t xml:space="preserve">rendeltetésének megváltoztatásához, valamint a helyi építési szabályzatban, vagy a szabályozási tervben szereplő közlekedési és közműterületen belül nyomvonal jellegű építmény elhelyezéséhez, bővítéséhez, továbbá a közút területének határától számított két méter távolságon belül fa ültetéséhez vagy kivágásához, </w:t>
            </w:r>
          </w:p>
          <w:p w14:paraId="6F2BD05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c) amennyiben az elhelyezendő létesítmény dőlési távolsága a közút határát keresztezi.” </w:t>
            </w:r>
          </w:p>
          <w:p w14:paraId="7EE37D2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Kkt. 12. § (3) bekezdés szerint: </w:t>
            </w:r>
          </w:p>
          <w:p w14:paraId="7845372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gépjárművek közlekedésére szolgáló közút területén, a felett és mellett – a közúti jelzőtáblák megtervezésének, alkalmazásának és elhelyezésének követelményeiről szóló miniszteri rendeletben meghatározott területen belül – nem lehet olyan jel, jelzés, egyéb tárgy és berendezés, amely a közúti jelzések-kel – azok alakjával, színével – összetéveszthető, a láthatóságot akadályozza, alkalmas arra, hogy a közlekedők figyelmét elterelje, vagy a közlekedés biztonságát egyéb módon veszélyezteti. </w:t>
            </w:r>
          </w:p>
          <w:p w14:paraId="1262BCD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(3a) Nem lehet továbbá reklámtábla, reklámhordozó és egyéb reklámcélú berendezés, valamint a tájékozódást segítő jelzést megjelenítő reklámcélú eszköz lakott területen </w:t>
            </w:r>
          </w:p>
          <w:p w14:paraId="70F3A24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a gépjárművek közlekedésére szolgáló közút területén, a közút úttesten kívüli burkolatlan területe kivételével, </w:t>
            </w:r>
          </w:p>
          <w:p w14:paraId="4DA568A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b) a gépjárművek közlekedésére szolgáló közút felett, annak műtárgyán, tartozékán, a járda, a gyalogút, valamint a kerékpárút kivételével. </w:t>
            </w:r>
          </w:p>
          <w:p w14:paraId="5DAC3651"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(3b) Reklámtábla, reklámhordozó és egyéb reklámcélú berendezés közvilágítási-, villany-, és telefon-oszlopon az adott ellátási területen működő áram-, illetve telefonszolgáltató engedélyével helyezhető el. Reklámtábla, reklámhordozó és egyéb reklámcélú berendezés közvilágítási-, villany-, és telefonoszlopon történő elhelyezése esetén az elhelyező köteles a közterület-használati díjak megfizetésére. </w:t>
            </w:r>
          </w:p>
          <w:p w14:paraId="32AC99F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 xml:space="preserve">(3c) Tájékozódást segítő jelzést megjelenítő reklámcélú eszköz a közvilágítási-, villany- és telefonoszlopon az áram-, telefonszolgáltató vagy áramhálózati engedélyes, valamint az oszlop tulajdonosának a hozzájárulásával helyezhető el; az elhelyezést az eszközzel érintett oszlop alatti földterület tulajdonosa és az eszközzel érintett oszlop alatti földterülettel szomszédos ingatlan tulajdonosa tűrni köteles. </w:t>
            </w:r>
          </w:p>
          <w:p w14:paraId="229C7393"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(3d) A tájékozódást segítő jelzést megjelenítő reklámcélú eszköz (3c) bekezdés szerinti elhelyezése esetén </w:t>
            </w:r>
          </w:p>
          <w:p w14:paraId="670AA11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nem kell alkalmazni az épített környezet alakításáról és védelméről szóló törvény szerinti település-képi bejelentési eljárásra vonatkozó szabályokat, </w:t>
            </w:r>
          </w:p>
          <w:p w14:paraId="1DD4107C"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b) a közterület igénybevétele rendeltetésszerű igénybevételnek, a tájékozódást segítő jelzést megjelenítő reklámcélú eszköz pedig a közúti közlekedés szervezésének és irányításának céljait szolgáló berendezésnek minősül, c) a közterület b) pont szerinti rendeltetésszerű </w:t>
            </w:r>
            <w:proofErr w:type="gramStart"/>
            <w:r w:rsidRPr="00B37307">
              <w:rPr>
                <w:rFonts w:ascii="Arial" w:hAnsi="Arial" w:cs="Arial"/>
                <w:sz w:val="24"/>
                <w:szCs w:val="24"/>
              </w:rPr>
              <w:t>igénybe vétele</w:t>
            </w:r>
            <w:proofErr w:type="gramEnd"/>
            <w:r w:rsidRPr="00B37307">
              <w:rPr>
                <w:rFonts w:ascii="Arial" w:hAnsi="Arial" w:cs="Arial"/>
                <w:sz w:val="24"/>
                <w:szCs w:val="24"/>
              </w:rPr>
              <w:t xml:space="preserve"> közterület használati díjfizetési kötelezettséggel nem jár, a tájékozódást segítő jelzést megjelenítő reklámcélú eszköz elhelyezéséért az elhelyezőnek a közút kezelője részére elhelyezési díjat kell fizetnie, </w:t>
            </w:r>
          </w:p>
          <w:p w14:paraId="6B891FF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d) az elhelyezéshez a közterület használatra vonatkozó jogszabályok szerinti hatósági engedély, illetve polgári jogi jogviszony nem szükséges. </w:t>
            </w:r>
          </w:p>
          <w:p w14:paraId="069B318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(3e) A gépjárművek közlekedésére szolgáló közút lakott területen kívüli szakasza mellett nem lehet reklámtábla, reklámhordozó vagy egyéb reklámcélú berendezés, valamint a tájékozódást segítő jelzést megjelenítő reklámcélú eszköz. A tilalom nem vonatkozik a 2010. december 31-éig a nem gyorsforgalmi utak mentén kihelyezett 12A/0-ás ív méretű reklámfelülettel rendelkező reklámtáblákra, az üzemanyag-töltő állomások területén elhelyezett cégjelzésre, és üzemanyagárakat tartalmazó táblákra, az építményeken, az építmények telkén elhelyezett olyan feliratra, amelyek az építményben működő cég nevét, jelét </w:t>
            </w:r>
            <w:r w:rsidRPr="00B37307">
              <w:rPr>
                <w:rFonts w:ascii="Arial" w:hAnsi="Arial" w:cs="Arial"/>
                <w:sz w:val="24"/>
                <w:szCs w:val="24"/>
              </w:rPr>
              <w:lastRenderedPageBreak/>
              <w:t xml:space="preserve">(piktogramját), vagy tevékenységét jelzik, továbbá azokra a – közvetlenül a közút mellett elhelyezett – berendezésekre, amelyek közlekedés biztonságát elősegítő közérdekű tájékoztató táblák szakmai tartalmát, valamint engedélyezésüket meghatározó testület által engedélyezett a közlekedés biztonságát elősegítő közérdekű tájékoztatást tartalmaznak.” </w:t>
            </w:r>
          </w:p>
          <w:p w14:paraId="0AC8AF5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tervezés során a 280/2024. (IX. 30.) Korm. rendelet (TÉKA) 55. §-ában rögzített védősávot (biztonsági övezetet) biztosítani kell. </w:t>
            </w:r>
          </w:p>
          <w:p w14:paraId="4FFB4A29"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Tájékoztatom, hogy a vasúti átjáró – az ideiglenesen létesített vasúti átjáró kivételével – létesítése, áthelyezése és megszüntetése, valamint a létesítés és az áthelyezés során a vasúti átjáró biztosítási módjának és forgalmi rendjének kialakítása engedély köteles. A 382/2016. (XII. 2.) Korm. rendelet 2. § (2) bekezdés 10. pontja első fokon országos illetékességgel Budapest Főváros Kormányhivatalát jelöli ki útügyi hatóságként. </w:t>
            </w:r>
          </w:p>
          <w:p w14:paraId="7658F18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vasúti átjáró létesítési eljárást Hivatalom az utak forgalomszabályozásáról és a közúti jelzések elhelyezéséről szóló 20/1984. (XII. 21.) KM rendelet alapján folytatja le a szintbeni közúti-vasúti átjárók kialakításáról szóló e-UT 03.06.11 számú útügyi műszaki előírás figyelembevételével. </w:t>
            </w:r>
          </w:p>
          <w:p w14:paraId="4D36410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Kiemelt figyelmet kell fordítani a közlekedésbiztonsági szempontokra, a fejlesztések tervezésénél, megvalósításánál elsőbbséget kell, hogy élvezzenek azok a beruházások, amelyekkel a személysérüléses balesetek, balesetveszélyes helyzetek előzhetőek meg. </w:t>
            </w:r>
          </w:p>
          <w:p w14:paraId="3568742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településrendezési eszközök módosításával kapcsolatban kifogást nem emelek.</w:t>
            </w:r>
          </w:p>
        </w:tc>
        <w:tc>
          <w:tcPr>
            <w:tcW w:w="2840" w:type="dxa"/>
            <w:tcBorders>
              <w:top w:val="single" w:sz="4" w:space="0" w:color="auto"/>
              <w:left w:val="single" w:sz="4" w:space="0" w:color="auto"/>
              <w:bottom w:val="single" w:sz="4" w:space="0" w:color="auto"/>
              <w:right w:val="single" w:sz="4" w:space="0" w:color="auto"/>
            </w:tcBorders>
            <w:hideMark/>
          </w:tcPr>
          <w:p w14:paraId="033C6C70" w14:textId="77777777" w:rsidR="00B37307" w:rsidRPr="00B37307" w:rsidRDefault="00B37307" w:rsidP="00B37307">
            <w:pPr>
              <w:spacing w:line="254" w:lineRule="auto"/>
              <w:rPr>
                <w:rFonts w:ascii="Arial" w:hAnsi="Arial" w:cs="Arial"/>
                <w:sz w:val="24"/>
                <w:szCs w:val="24"/>
              </w:rPr>
            </w:pPr>
            <w:r w:rsidRPr="00B37307">
              <w:rPr>
                <w:rFonts w:ascii="Arial" w:hAnsi="Arial" w:cs="Arial"/>
                <w:sz w:val="24"/>
                <w:szCs w:val="24"/>
              </w:rPr>
              <w:lastRenderedPageBreak/>
              <w:t>Észrevételt köszönjük.</w:t>
            </w:r>
          </w:p>
        </w:tc>
      </w:tr>
      <w:tr w:rsidR="00B37307" w:rsidRPr="00B37307" w14:paraId="6E9F472B" w14:textId="77777777">
        <w:trPr>
          <w:trHeight w:val="849"/>
        </w:trPr>
        <w:tc>
          <w:tcPr>
            <w:tcW w:w="750" w:type="dxa"/>
            <w:vMerge w:val="restart"/>
            <w:tcBorders>
              <w:top w:val="single" w:sz="4" w:space="0" w:color="auto"/>
              <w:left w:val="single" w:sz="4" w:space="0" w:color="auto"/>
              <w:bottom w:val="single" w:sz="4" w:space="0" w:color="auto"/>
              <w:right w:val="single" w:sz="4" w:space="0" w:color="auto"/>
            </w:tcBorders>
            <w:hideMark/>
          </w:tcPr>
          <w:p w14:paraId="0E893E81"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5</w:t>
            </w:r>
          </w:p>
        </w:tc>
        <w:tc>
          <w:tcPr>
            <w:tcW w:w="2962" w:type="dxa"/>
            <w:vMerge w:val="restart"/>
            <w:tcBorders>
              <w:top w:val="single" w:sz="4" w:space="0" w:color="auto"/>
              <w:left w:val="single" w:sz="4" w:space="0" w:color="auto"/>
              <w:bottom w:val="single" w:sz="4" w:space="0" w:color="auto"/>
              <w:right w:val="single" w:sz="4" w:space="0" w:color="auto"/>
            </w:tcBorders>
            <w:hideMark/>
          </w:tcPr>
          <w:p w14:paraId="422FA2F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Fejér Vármegyei Kormányhivatal Állami Főépítész</w:t>
            </w:r>
          </w:p>
        </w:tc>
        <w:tc>
          <w:tcPr>
            <w:tcW w:w="7902" w:type="dxa"/>
            <w:tcBorders>
              <w:top w:val="single" w:sz="4" w:space="0" w:color="auto"/>
              <w:left w:val="single" w:sz="4" w:space="0" w:color="auto"/>
              <w:bottom w:val="single" w:sz="4" w:space="0" w:color="auto"/>
              <w:right w:val="single" w:sz="4" w:space="0" w:color="auto"/>
            </w:tcBorders>
            <w:hideMark/>
          </w:tcPr>
          <w:p w14:paraId="388AEDB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1.</w:t>
            </w:r>
            <w:r w:rsidRPr="00B37307">
              <w:rPr>
                <w:rFonts w:ascii="Arial" w:hAnsi="Arial" w:cs="Arial"/>
                <w:b/>
                <w:bCs/>
                <w:sz w:val="24"/>
                <w:szCs w:val="24"/>
              </w:rPr>
              <w:t xml:space="preserve"> </w:t>
            </w:r>
            <w:r w:rsidRPr="00B37307">
              <w:rPr>
                <w:rFonts w:ascii="Arial" w:hAnsi="Arial" w:cs="Arial"/>
                <w:sz w:val="24"/>
                <w:szCs w:val="24"/>
              </w:rPr>
              <w:t>A Kr. 59. § (2) bekezdése szerint a településterv, kézikönyv készítését és módosítását, valamint a településképi rendelet módosítását az önkormányzat képviselő-testületének</w:t>
            </w:r>
          </w:p>
          <w:p w14:paraId="44CE4A1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a) a készítés vagy módosítás tényét, </w:t>
            </w:r>
          </w:p>
          <w:p w14:paraId="38FE231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 xml:space="preserve">b) új beépítésre szánt terület kijelölése esetén a </w:t>
            </w:r>
            <w:proofErr w:type="gramStart"/>
            <w:r w:rsidRPr="00B37307">
              <w:rPr>
                <w:rFonts w:ascii="Arial" w:hAnsi="Arial" w:cs="Arial"/>
                <w:sz w:val="24"/>
                <w:szCs w:val="24"/>
              </w:rPr>
              <w:t>Méptv.-</w:t>
            </w:r>
            <w:proofErr w:type="gramEnd"/>
            <w:r w:rsidRPr="00B37307">
              <w:rPr>
                <w:rFonts w:ascii="Arial" w:hAnsi="Arial" w:cs="Arial"/>
                <w:sz w:val="24"/>
                <w:szCs w:val="24"/>
              </w:rPr>
              <w:t>ben foglalt követelményeknek való megfelelést,</w:t>
            </w:r>
          </w:p>
          <w:p w14:paraId="0893DF3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c) amennyiben indokolt, a kiemelt fejlesztési területté nyilvánítást és</w:t>
            </w:r>
          </w:p>
          <w:p w14:paraId="2BE67ED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d) a 7. § (7) bekezdése szerinti feljegyzés, a kézikönyv és a településképi rendelet esetében a szakmai összefoglaló elfogadását tartalmazó döntése alapozza meg.</w:t>
            </w:r>
          </w:p>
          <w:p w14:paraId="449C0938"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tervdokumentáció tartalmazza Mór Város Önkormányzat Képviselő-testületének 28/2026. (I.28.) határozatát „Mór város településterv 9. számú módosítására vonatkozó eljárás megindítása tárgyában.”</w:t>
            </w:r>
          </w:p>
          <w:p w14:paraId="311A7566"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településszerkezeti terv szerint új beépítésre szánt terület kerül kijelölésre, valamint a rendelettervezet szerint kiegészítésre kerül az építési helyre vonatkozó előírás.</w:t>
            </w:r>
          </w:p>
          <w:p w14:paraId="5F168B8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Mór Város Önkormányzat Képviselő-testülete a 28/2026. (I.28.) határozatának 2. pontjában döntött „Mór, 4906/85 hrsz.-ú gazdasági terület és környezetét érintő módosításának” megindításáról. A határozat nem tartalmazza az építési helyre vonatkozó előírás módosításának elhatározását.</w:t>
            </w:r>
          </w:p>
          <w:p w14:paraId="7EF423E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Mór Város Önkormányzat Képviselő-testülete a 28/2026. (I.28.) határozatának 4. pontja tartalmazza Kr. 59. § (2) bekezdés b) pontja alapján az új beépítésre szánt terület kijelölése miatt a </w:t>
            </w:r>
            <w:proofErr w:type="gramStart"/>
            <w:r w:rsidRPr="00B37307">
              <w:rPr>
                <w:rFonts w:ascii="Arial" w:hAnsi="Arial" w:cs="Arial"/>
                <w:sz w:val="24"/>
                <w:szCs w:val="24"/>
              </w:rPr>
              <w:t>Méptv.-</w:t>
            </w:r>
            <w:proofErr w:type="gramEnd"/>
            <w:r w:rsidRPr="00B37307">
              <w:rPr>
                <w:rFonts w:ascii="Arial" w:hAnsi="Arial" w:cs="Arial"/>
                <w:sz w:val="24"/>
                <w:szCs w:val="24"/>
              </w:rPr>
              <w:t>ben foglalt követelményeknek való megfelelést.</w:t>
            </w:r>
          </w:p>
          <w:p w14:paraId="7711DE35"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Méptv. 8. § (3) bekezdés szerint „az új beépítésre szánt területek kijelölése során a következő feltételeknek együttesen meg kell felelni, és ezt az önkormányzatnak külön önkormányzati határozattal – amely a településrendezési terv mellékletét képezi – igazolni kell:</w:t>
            </w:r>
          </w:p>
          <w:p w14:paraId="0386852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 a 7. § (2) bekezdésében, valamint az (1) és (2) bekezdésben foglaltak teljesülését,</w:t>
            </w:r>
          </w:p>
          <w:p w14:paraId="5AAFD4C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b) számítással igazolva, hogy a település közigazgatási területének biológiai aktivitás értéke az új beépítésre szánt területkijelöléssel nem csökken,</w:t>
            </w:r>
          </w:p>
          <w:p w14:paraId="2683CB4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c) hogy új lakóterület kijelölése esetén a szilárd burkolatú úton való megközelítés biztosított lesz, a közműkapacitás a közműszolgáltató nyilatkozata szerint rendelkezésre áll – vagy ha nem áll rendelkezésre, a közműpótló műtárgyak az ingatlanon belül biztosítottak lesznek –, valamint az óvodai, általános iskolai és egészségügyi alapellátás a településen vagy a kijelölt új lakóterület legfeljebb 5 km-es környezetében a kijelölést követő 3 éven belül biztosított lesz,</w:t>
            </w:r>
          </w:p>
          <w:p w14:paraId="291A914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d) hogy a település már beépítésre kijelölt területén belül nincs olyan szabad, építési tevékenységgel nem érintett terület vagy barnamezős terület, amely az új beépítést előirányzó rendeltetésnek és használatnak megfelel, és</w:t>
            </w:r>
          </w:p>
          <w:p w14:paraId="7B451262"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e) a Magyarország és egyes kiemelt térségeinek területrendezési tervéről szóló 2018. évi CXXXIX. törvény (a továbbiakban: Trtv.) új beépítésre szánt terület kijelölésére vonatkozó követelményeinek teljesülését.”</w:t>
            </w:r>
          </w:p>
          <w:p w14:paraId="23DF2A85"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Megítélésem szerint a Méptv. 8. § (3) bekezdés a) - e) pontjaiba foglalt feltételek teljesülését a határozat mellékletét képező rajzi ábrázolással és számítással szükséges igazolni, és nem elegendő arról a határozatban nyilatkozni.</w:t>
            </w:r>
          </w:p>
          <w:p w14:paraId="436EFFF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Fentiek alapján kérem Mór Város Önkormányzat Képviselő-testület 28/2026. (I.28.) határozatának kiegészítését, vagy külön önálló képviselő-testületi döntés meghozatalát az alábbiakról:</w:t>
            </w:r>
          </w:p>
          <w:p w14:paraId="145E83CB"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-az építési helyre vonatkozó előírás módosításának ténye,</w:t>
            </w:r>
          </w:p>
          <w:p w14:paraId="08F2CD2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-az új beépítésre szánt terület vonatkozásában a Méptv. 8. § (3) bekezdés a) - e) pontjaiba foglalt feltételek teljesülését - a határozat mellékleteként - rajzi ábrázolással és számítással igazolni.</w:t>
            </w:r>
          </w:p>
        </w:tc>
        <w:tc>
          <w:tcPr>
            <w:tcW w:w="2840" w:type="dxa"/>
            <w:tcBorders>
              <w:top w:val="single" w:sz="4" w:space="0" w:color="auto"/>
              <w:left w:val="single" w:sz="4" w:space="0" w:color="auto"/>
              <w:bottom w:val="single" w:sz="4" w:space="0" w:color="auto"/>
              <w:right w:val="single" w:sz="4" w:space="0" w:color="auto"/>
            </w:tcBorders>
            <w:hideMark/>
          </w:tcPr>
          <w:p w14:paraId="65B512C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 xml:space="preserve">Új beépítésre szánt terület kijelöléséről szóló határozatot a jogszabályban </w:t>
            </w:r>
            <w:r w:rsidRPr="00B37307">
              <w:rPr>
                <w:rFonts w:ascii="Arial" w:hAnsi="Arial" w:cs="Arial"/>
                <w:sz w:val="24"/>
                <w:szCs w:val="24"/>
              </w:rPr>
              <w:lastRenderedPageBreak/>
              <w:t>meghatározott tartalommal pótoljuk.</w:t>
            </w:r>
          </w:p>
        </w:tc>
      </w:tr>
      <w:tr w:rsidR="00B37307" w:rsidRPr="00B37307" w14:paraId="4D2DED2A" w14:textId="77777777">
        <w:trPr>
          <w:trHeight w:val="1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A30C2" w14:textId="77777777" w:rsidR="00B37307" w:rsidRPr="00B37307" w:rsidRDefault="00B37307" w:rsidP="00B37307">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D714C" w14:textId="77777777" w:rsidR="00B37307" w:rsidRPr="00B37307" w:rsidRDefault="00B37307" w:rsidP="00B37307">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41E03CF6"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2.A módosítással érintett terület – az E-TÉR adatszolgáltatása alapján – érintett az ásványi nyersanyag-vagyon övezettel. Felhívom a figyelmet a területrendezési tervek készítésének és alkalmazásának kiegészítő szabályozásáról szóló 9/2019. (VI. 14.) MvM rendelet 8. §-ára, miszerint:</w:t>
            </w:r>
          </w:p>
          <w:p w14:paraId="528F86BA"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lastRenderedPageBreak/>
              <w:t>„(1) Az ásványi nyersanyagvagyon övezetét a településrendezési eszközökben kell tényleges kiterjedésének megfelelően lehatárolni.</w:t>
            </w:r>
          </w:p>
          <w:p w14:paraId="673073D8"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(2) Az (1) bekezdés szerinti területen, a településrendezési eszközökben csak olyan területfelhasználási egység, építési övezet vagy övezet jelölhető ki, amely az ásványi nyersanyagvagyon távlati kitermelését nem lehetetleníti el.”</w:t>
            </w:r>
          </w:p>
        </w:tc>
        <w:tc>
          <w:tcPr>
            <w:tcW w:w="2840" w:type="dxa"/>
            <w:tcBorders>
              <w:top w:val="single" w:sz="4" w:space="0" w:color="auto"/>
              <w:left w:val="single" w:sz="4" w:space="0" w:color="auto"/>
              <w:bottom w:val="single" w:sz="4" w:space="0" w:color="auto"/>
              <w:right w:val="single" w:sz="4" w:space="0" w:color="auto"/>
            </w:tcBorders>
            <w:hideMark/>
          </w:tcPr>
          <w:p w14:paraId="48D92359" w14:textId="77777777" w:rsidR="00B37307" w:rsidRPr="00B37307" w:rsidRDefault="00B37307" w:rsidP="00B37307">
            <w:pPr>
              <w:widowControl w:val="0"/>
              <w:tabs>
                <w:tab w:val="left" w:pos="7380"/>
              </w:tabs>
              <w:autoSpaceDE w:val="0"/>
              <w:autoSpaceDN w:val="0"/>
              <w:spacing w:line="240" w:lineRule="auto"/>
              <w:rPr>
                <w:rFonts w:ascii="Arial" w:eastAsia="Times New Roman" w:hAnsi="Arial" w:cs="Arial"/>
                <w:sz w:val="24"/>
                <w:szCs w:val="24"/>
                <w:lang w:val="en-US"/>
              </w:rPr>
            </w:pPr>
            <w:r w:rsidRPr="00B37307">
              <w:rPr>
                <w:rFonts w:ascii="Arial" w:eastAsia="Times New Roman" w:hAnsi="Arial" w:cs="Arial"/>
                <w:sz w:val="24"/>
                <w:szCs w:val="24"/>
                <w:lang w:val="en-US"/>
              </w:rPr>
              <w:lastRenderedPageBreak/>
              <w:t>A tervlap és a Hész kiegészítésre került az észrevétel alapján.</w:t>
            </w:r>
          </w:p>
        </w:tc>
      </w:tr>
      <w:tr w:rsidR="00B37307" w:rsidRPr="00B37307" w14:paraId="60C29B25" w14:textId="77777777">
        <w:tc>
          <w:tcPr>
            <w:tcW w:w="750" w:type="dxa"/>
            <w:tcBorders>
              <w:top w:val="single" w:sz="4" w:space="0" w:color="auto"/>
              <w:left w:val="single" w:sz="4" w:space="0" w:color="auto"/>
              <w:bottom w:val="single" w:sz="4" w:space="0" w:color="auto"/>
              <w:right w:val="single" w:sz="4" w:space="0" w:color="auto"/>
            </w:tcBorders>
            <w:hideMark/>
          </w:tcPr>
          <w:p w14:paraId="75F04A4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6</w:t>
            </w:r>
          </w:p>
        </w:tc>
        <w:tc>
          <w:tcPr>
            <w:tcW w:w="2962" w:type="dxa"/>
            <w:tcBorders>
              <w:top w:val="single" w:sz="4" w:space="0" w:color="auto"/>
              <w:left w:val="single" w:sz="4" w:space="0" w:color="auto"/>
              <w:bottom w:val="single" w:sz="4" w:space="0" w:color="auto"/>
              <w:right w:val="single" w:sz="4" w:space="0" w:color="auto"/>
            </w:tcBorders>
            <w:hideMark/>
          </w:tcPr>
          <w:p w14:paraId="1E5FA1AD"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Budapest Főváros Kormányhivatala Népegészségügyi Főosztály</w:t>
            </w:r>
          </w:p>
        </w:tc>
        <w:tc>
          <w:tcPr>
            <w:tcW w:w="7902" w:type="dxa"/>
            <w:tcBorders>
              <w:top w:val="single" w:sz="4" w:space="0" w:color="auto"/>
              <w:left w:val="single" w:sz="4" w:space="0" w:color="auto"/>
              <w:bottom w:val="single" w:sz="4" w:space="0" w:color="auto"/>
              <w:right w:val="single" w:sz="4" w:space="0" w:color="auto"/>
            </w:tcBorders>
            <w:hideMark/>
          </w:tcPr>
          <w:p w14:paraId="55CA2FC1"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településen természetes gyógytényező érintettsége nem áll fenn, ezért jelen esetben a BFKH véleményezési lehetőséggel nem rendelkezik.</w:t>
            </w:r>
          </w:p>
        </w:tc>
        <w:tc>
          <w:tcPr>
            <w:tcW w:w="2840" w:type="dxa"/>
            <w:tcBorders>
              <w:top w:val="single" w:sz="4" w:space="0" w:color="auto"/>
              <w:left w:val="single" w:sz="4" w:space="0" w:color="auto"/>
              <w:bottom w:val="single" w:sz="4" w:space="0" w:color="auto"/>
              <w:right w:val="single" w:sz="4" w:space="0" w:color="auto"/>
            </w:tcBorders>
            <w:hideMark/>
          </w:tcPr>
          <w:p w14:paraId="4896EB03"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Észrevételt köszönjük.</w:t>
            </w:r>
          </w:p>
        </w:tc>
      </w:tr>
      <w:tr w:rsidR="00B37307" w:rsidRPr="00B37307" w14:paraId="13050FE4" w14:textId="77777777">
        <w:tc>
          <w:tcPr>
            <w:tcW w:w="750" w:type="dxa"/>
            <w:tcBorders>
              <w:top w:val="single" w:sz="4" w:space="0" w:color="auto"/>
              <w:left w:val="single" w:sz="4" w:space="0" w:color="auto"/>
              <w:bottom w:val="single" w:sz="4" w:space="0" w:color="auto"/>
              <w:right w:val="single" w:sz="4" w:space="0" w:color="auto"/>
            </w:tcBorders>
            <w:hideMark/>
          </w:tcPr>
          <w:p w14:paraId="24C6B81B"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7</w:t>
            </w:r>
          </w:p>
        </w:tc>
        <w:tc>
          <w:tcPr>
            <w:tcW w:w="2962" w:type="dxa"/>
            <w:tcBorders>
              <w:top w:val="single" w:sz="4" w:space="0" w:color="auto"/>
              <w:left w:val="single" w:sz="4" w:space="0" w:color="auto"/>
              <w:bottom w:val="single" w:sz="4" w:space="0" w:color="auto"/>
              <w:right w:val="single" w:sz="4" w:space="0" w:color="auto"/>
            </w:tcBorders>
            <w:hideMark/>
          </w:tcPr>
          <w:p w14:paraId="7691993B"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Építési és Közlekedési Minisztérium Vasúti Hatósági Főosztály</w:t>
            </w:r>
          </w:p>
        </w:tc>
        <w:tc>
          <w:tcPr>
            <w:tcW w:w="7902" w:type="dxa"/>
            <w:tcBorders>
              <w:top w:val="single" w:sz="4" w:space="0" w:color="auto"/>
              <w:left w:val="single" w:sz="4" w:space="0" w:color="auto"/>
              <w:bottom w:val="single" w:sz="4" w:space="0" w:color="auto"/>
              <w:right w:val="single" w:sz="4" w:space="0" w:color="auto"/>
            </w:tcBorders>
            <w:hideMark/>
          </w:tcPr>
          <w:p w14:paraId="4AB059D4"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 xml:space="preserve">A </w:t>
            </w:r>
            <w:r w:rsidRPr="00B37307">
              <w:rPr>
                <w:rFonts w:ascii="Arial" w:hAnsi="Arial" w:cs="Arial"/>
                <w:i/>
                <w:iCs/>
                <w:sz w:val="24"/>
                <w:szCs w:val="24"/>
                <w:shd w:val="clear" w:color="auto" w:fill="FFFFFF"/>
              </w:rPr>
              <w:t xml:space="preserve">közlekedési igazgatási feladatokkal összefüggő hatósági feladatokat ellátó szervek kijelöléséről </w:t>
            </w:r>
            <w:r w:rsidRPr="00B37307">
              <w:rPr>
                <w:rFonts w:ascii="Arial" w:hAnsi="Arial" w:cs="Arial"/>
                <w:sz w:val="24"/>
                <w:szCs w:val="24"/>
                <w:shd w:val="clear" w:color="auto" w:fill="FFFFFF"/>
              </w:rPr>
              <w:t xml:space="preserve">szóló 382/2016. (XII. 2.) Korm. rendelet 6. § (5) alapján a vasúti közlekedési hatóság a településfejlesztési terv és a településrendezési terv a vasúti pályahálózattal érintett település esetében történő egyeztetési eljárásai során, mint kijelölt hatóság jár el. </w:t>
            </w:r>
          </w:p>
          <w:p w14:paraId="6A72FB58"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Mór város településrendezési eszközeinek módosítása vonatkozásában a vasúti közlekedési hatóság észrevételt nem tesz.</w:t>
            </w:r>
          </w:p>
        </w:tc>
        <w:tc>
          <w:tcPr>
            <w:tcW w:w="2840" w:type="dxa"/>
            <w:tcBorders>
              <w:top w:val="single" w:sz="4" w:space="0" w:color="auto"/>
              <w:left w:val="single" w:sz="4" w:space="0" w:color="auto"/>
              <w:bottom w:val="single" w:sz="4" w:space="0" w:color="auto"/>
              <w:right w:val="single" w:sz="4" w:space="0" w:color="auto"/>
            </w:tcBorders>
            <w:hideMark/>
          </w:tcPr>
          <w:p w14:paraId="58215D4C"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Észrevételt köszönjük.</w:t>
            </w:r>
          </w:p>
        </w:tc>
      </w:tr>
      <w:tr w:rsidR="00B37307" w:rsidRPr="00B37307" w14:paraId="613E4FC1" w14:textId="77777777">
        <w:tc>
          <w:tcPr>
            <w:tcW w:w="750" w:type="dxa"/>
            <w:tcBorders>
              <w:top w:val="single" w:sz="4" w:space="0" w:color="auto"/>
              <w:left w:val="single" w:sz="4" w:space="0" w:color="auto"/>
              <w:bottom w:val="single" w:sz="4" w:space="0" w:color="auto"/>
              <w:right w:val="single" w:sz="4" w:space="0" w:color="auto"/>
            </w:tcBorders>
            <w:hideMark/>
          </w:tcPr>
          <w:p w14:paraId="443F6B27"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8</w:t>
            </w:r>
          </w:p>
        </w:tc>
        <w:tc>
          <w:tcPr>
            <w:tcW w:w="2962" w:type="dxa"/>
            <w:tcBorders>
              <w:top w:val="single" w:sz="4" w:space="0" w:color="auto"/>
              <w:left w:val="single" w:sz="4" w:space="0" w:color="auto"/>
              <w:bottom w:val="single" w:sz="4" w:space="0" w:color="auto"/>
              <w:right w:val="single" w:sz="4" w:space="0" w:color="auto"/>
            </w:tcBorders>
            <w:hideMark/>
          </w:tcPr>
          <w:p w14:paraId="4FFEA26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Fejér Vármegyei Kormányhivatal Közlekedési, Műszaki Engedélyezési, Mérésügyi és Fogyasztóvédelmi Főosztály Útügyi Osztály</w:t>
            </w:r>
          </w:p>
        </w:tc>
        <w:tc>
          <w:tcPr>
            <w:tcW w:w="7902" w:type="dxa"/>
            <w:tcBorders>
              <w:top w:val="single" w:sz="4" w:space="0" w:color="auto"/>
              <w:left w:val="single" w:sz="4" w:space="0" w:color="auto"/>
              <w:bottom w:val="single" w:sz="4" w:space="0" w:color="auto"/>
              <w:right w:val="single" w:sz="4" w:space="0" w:color="auto"/>
            </w:tcBorders>
            <w:hideMark/>
          </w:tcPr>
          <w:p w14:paraId="76A8AD64"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dokumentációt áttanulmányoztam, és megállapítottam, hogy a tervben foglaltak a hatáskörömbe tartozó útügyi érdeket nem sértenek, így azokat nem kifogásolom.</w:t>
            </w:r>
          </w:p>
        </w:tc>
        <w:tc>
          <w:tcPr>
            <w:tcW w:w="2840" w:type="dxa"/>
            <w:tcBorders>
              <w:top w:val="single" w:sz="4" w:space="0" w:color="auto"/>
              <w:left w:val="single" w:sz="4" w:space="0" w:color="auto"/>
              <w:bottom w:val="single" w:sz="4" w:space="0" w:color="auto"/>
              <w:right w:val="single" w:sz="4" w:space="0" w:color="auto"/>
            </w:tcBorders>
            <w:hideMark/>
          </w:tcPr>
          <w:p w14:paraId="4010D81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Észrevételt köszönjük.</w:t>
            </w:r>
          </w:p>
        </w:tc>
      </w:tr>
      <w:tr w:rsidR="00B37307" w:rsidRPr="00B37307" w14:paraId="0BCBEA6E" w14:textId="77777777">
        <w:tc>
          <w:tcPr>
            <w:tcW w:w="750" w:type="dxa"/>
            <w:tcBorders>
              <w:top w:val="single" w:sz="4" w:space="0" w:color="auto"/>
              <w:left w:val="single" w:sz="4" w:space="0" w:color="auto"/>
              <w:bottom w:val="single" w:sz="4" w:space="0" w:color="auto"/>
              <w:right w:val="single" w:sz="4" w:space="0" w:color="auto"/>
            </w:tcBorders>
            <w:hideMark/>
          </w:tcPr>
          <w:p w14:paraId="2E868CC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9</w:t>
            </w:r>
          </w:p>
        </w:tc>
        <w:tc>
          <w:tcPr>
            <w:tcW w:w="2962" w:type="dxa"/>
            <w:tcBorders>
              <w:top w:val="single" w:sz="4" w:space="0" w:color="auto"/>
              <w:left w:val="single" w:sz="4" w:space="0" w:color="auto"/>
              <w:bottom w:val="single" w:sz="4" w:space="0" w:color="auto"/>
              <w:right w:val="single" w:sz="4" w:space="0" w:color="auto"/>
            </w:tcBorders>
            <w:hideMark/>
          </w:tcPr>
          <w:p w14:paraId="7AD4B80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Nemzeti Média- és Hírközlési Hatóság</w:t>
            </w:r>
          </w:p>
        </w:tc>
        <w:tc>
          <w:tcPr>
            <w:tcW w:w="7902" w:type="dxa"/>
            <w:tcBorders>
              <w:top w:val="single" w:sz="4" w:space="0" w:color="auto"/>
              <w:left w:val="single" w:sz="4" w:space="0" w:color="auto"/>
              <w:bottom w:val="single" w:sz="4" w:space="0" w:color="auto"/>
              <w:right w:val="single" w:sz="4" w:space="0" w:color="auto"/>
            </w:tcBorders>
            <w:hideMark/>
          </w:tcPr>
          <w:p w14:paraId="4DA5457A"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tervezet hírközlési érdeket nem sért, a tervezet ellen a Hatóság kifogást nem emel.</w:t>
            </w:r>
          </w:p>
        </w:tc>
        <w:tc>
          <w:tcPr>
            <w:tcW w:w="2840" w:type="dxa"/>
            <w:tcBorders>
              <w:top w:val="single" w:sz="4" w:space="0" w:color="auto"/>
              <w:left w:val="single" w:sz="4" w:space="0" w:color="auto"/>
              <w:bottom w:val="single" w:sz="4" w:space="0" w:color="auto"/>
              <w:right w:val="single" w:sz="4" w:space="0" w:color="auto"/>
            </w:tcBorders>
            <w:hideMark/>
          </w:tcPr>
          <w:p w14:paraId="58673E3F"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Észrevételt köszönjük.</w:t>
            </w:r>
          </w:p>
        </w:tc>
      </w:tr>
      <w:tr w:rsidR="00B37307" w:rsidRPr="00B37307" w14:paraId="4C9F3712" w14:textId="77777777">
        <w:tc>
          <w:tcPr>
            <w:tcW w:w="750" w:type="dxa"/>
            <w:tcBorders>
              <w:top w:val="single" w:sz="4" w:space="0" w:color="auto"/>
              <w:left w:val="single" w:sz="4" w:space="0" w:color="auto"/>
              <w:bottom w:val="single" w:sz="4" w:space="0" w:color="auto"/>
              <w:right w:val="single" w:sz="4" w:space="0" w:color="auto"/>
            </w:tcBorders>
            <w:hideMark/>
          </w:tcPr>
          <w:p w14:paraId="28ED34E3"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10</w:t>
            </w:r>
          </w:p>
        </w:tc>
        <w:tc>
          <w:tcPr>
            <w:tcW w:w="2962" w:type="dxa"/>
            <w:tcBorders>
              <w:top w:val="single" w:sz="4" w:space="0" w:color="auto"/>
              <w:left w:val="single" w:sz="4" w:space="0" w:color="auto"/>
              <w:bottom w:val="single" w:sz="4" w:space="0" w:color="auto"/>
              <w:right w:val="single" w:sz="4" w:space="0" w:color="auto"/>
            </w:tcBorders>
            <w:hideMark/>
          </w:tcPr>
          <w:p w14:paraId="2F12A169"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 xml:space="preserve">Szabályozott Tevékenységek Felügyeleti Hatósága Bányászati és Gázipari </w:t>
            </w:r>
            <w:r w:rsidRPr="00B37307">
              <w:rPr>
                <w:rFonts w:ascii="Arial" w:hAnsi="Arial" w:cs="Arial"/>
                <w:sz w:val="24"/>
                <w:szCs w:val="24"/>
              </w:rPr>
              <w:lastRenderedPageBreak/>
              <w:t>Főosztály Veszprémi Bányafelügyeleti Osztály</w:t>
            </w:r>
          </w:p>
        </w:tc>
        <w:tc>
          <w:tcPr>
            <w:tcW w:w="7902" w:type="dxa"/>
            <w:tcBorders>
              <w:top w:val="single" w:sz="4" w:space="0" w:color="auto"/>
              <w:left w:val="single" w:sz="4" w:space="0" w:color="auto"/>
              <w:bottom w:val="single" w:sz="4" w:space="0" w:color="auto"/>
              <w:right w:val="single" w:sz="4" w:space="0" w:color="auto"/>
            </w:tcBorders>
            <w:hideMark/>
          </w:tcPr>
          <w:p w14:paraId="78C714C7"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lastRenderedPageBreak/>
              <w:t xml:space="preserve">A településtervek tartalmáról, elkészítésének es elfogadásának rendjéről, valamint egyes településren-dezési sajátos jogintézményekről szóló 419/2021. (VII.15.) Korm. rendeletben (továbbiakban Korm. rendelet) foglaltak alapján a Bányafelügyelet a készülő településrendezési </w:t>
            </w:r>
            <w:r w:rsidRPr="00B37307">
              <w:rPr>
                <w:rFonts w:ascii="Arial" w:hAnsi="Arial" w:cs="Arial"/>
                <w:sz w:val="24"/>
                <w:szCs w:val="24"/>
                <w:shd w:val="clear" w:color="auto" w:fill="FFFFFF"/>
              </w:rPr>
              <w:lastRenderedPageBreak/>
              <w:t xml:space="preserve">eszközeinek módosításával kapcsolatosan földtani és ásványvagyon védelmi szakkérdésben foglal állást. </w:t>
            </w:r>
          </w:p>
          <w:p w14:paraId="08751C1E"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 xml:space="preserve">A településrendezési eszközök módosításával kapcsolatban megállapítható, hogy ásványvagyon vé-delmi és bányászati jogot érintő problémát nem vet fel, viszont a tárgyi terület egykori mélyművelésű bányászati tevékenységgel érintett, tehát aláfejtett terület és ebből kifolyólag potenciálisan felszínmozgás-veszélyes (Veszprémi Szénbányák F.A. „Balinka I. – szén védnevű” bányatelke). Ezen terület földtani veszélyforrás jelenléte miatt kockázatot jelent építési szempontból, ezért építési tevékenységet kizárólag geotechnikai szakértői vélemény alapján szabad végezni. A véleményezési dokumentáció összeállításánál figyelembe kell venni a terület építésföldtani viszonyait, adottságait, az ismert bányászati-, földtani- és geotechnikai kockázatokat. </w:t>
            </w:r>
          </w:p>
          <w:p w14:paraId="0FC46E43"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Bányafelügyelet megállapította, hogy a hatáskörébe tartozó szakmai kérdések tekintetében érintett, mivel a módosítással érintett ingatlanok egykori bányaterületet érintenek.</w:t>
            </w:r>
          </w:p>
        </w:tc>
        <w:tc>
          <w:tcPr>
            <w:tcW w:w="2840" w:type="dxa"/>
            <w:tcBorders>
              <w:top w:val="single" w:sz="4" w:space="0" w:color="auto"/>
              <w:left w:val="single" w:sz="4" w:space="0" w:color="auto"/>
              <w:bottom w:val="single" w:sz="4" w:space="0" w:color="auto"/>
              <w:right w:val="single" w:sz="4" w:space="0" w:color="auto"/>
            </w:tcBorders>
            <w:hideMark/>
          </w:tcPr>
          <w:p w14:paraId="7DC6BF20"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Észrevételt köszönjük.</w:t>
            </w:r>
          </w:p>
        </w:tc>
      </w:tr>
      <w:tr w:rsidR="00B37307" w:rsidRPr="00B37307" w14:paraId="5F8FCEC5" w14:textId="77777777">
        <w:tc>
          <w:tcPr>
            <w:tcW w:w="750" w:type="dxa"/>
            <w:tcBorders>
              <w:top w:val="single" w:sz="4" w:space="0" w:color="auto"/>
              <w:left w:val="single" w:sz="4" w:space="0" w:color="auto"/>
              <w:bottom w:val="single" w:sz="4" w:space="0" w:color="auto"/>
              <w:right w:val="single" w:sz="4" w:space="0" w:color="auto"/>
            </w:tcBorders>
            <w:hideMark/>
          </w:tcPr>
          <w:p w14:paraId="13107E8A"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11</w:t>
            </w:r>
          </w:p>
        </w:tc>
        <w:tc>
          <w:tcPr>
            <w:tcW w:w="2962" w:type="dxa"/>
            <w:tcBorders>
              <w:top w:val="single" w:sz="4" w:space="0" w:color="auto"/>
              <w:left w:val="single" w:sz="4" w:space="0" w:color="auto"/>
              <w:bottom w:val="single" w:sz="4" w:space="0" w:color="auto"/>
              <w:right w:val="single" w:sz="4" w:space="0" w:color="auto"/>
            </w:tcBorders>
            <w:hideMark/>
          </w:tcPr>
          <w:p w14:paraId="7AD3352B"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Pest Vármegyei Kormányhivatal Agrárügyi Főosztály Erdőfelügyeleti Osztály</w:t>
            </w:r>
          </w:p>
        </w:tc>
        <w:tc>
          <w:tcPr>
            <w:tcW w:w="7902" w:type="dxa"/>
            <w:tcBorders>
              <w:top w:val="single" w:sz="4" w:space="0" w:color="auto"/>
              <w:left w:val="single" w:sz="4" w:space="0" w:color="auto"/>
              <w:bottom w:val="single" w:sz="4" w:space="0" w:color="auto"/>
              <w:right w:val="single" w:sz="4" w:space="0" w:color="auto"/>
            </w:tcBorders>
            <w:hideMark/>
          </w:tcPr>
          <w:p w14:paraId="13ABA5F0"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 xml:space="preserve">A tervezett módosítások közvetlenül nem érintenek </w:t>
            </w:r>
            <w:r w:rsidRPr="00B37307">
              <w:rPr>
                <w:rFonts w:ascii="Arial" w:hAnsi="Arial" w:cs="Arial"/>
                <w:i/>
                <w:iCs/>
                <w:sz w:val="24"/>
                <w:szCs w:val="24"/>
                <w:shd w:val="clear" w:color="auto" w:fill="FFFFFF"/>
              </w:rPr>
              <w:t xml:space="preserve">az erdőről, az erdő védelméről és az erdőgazdálkodásról szóló </w:t>
            </w:r>
            <w:r w:rsidRPr="00B37307">
              <w:rPr>
                <w:rFonts w:ascii="Arial" w:hAnsi="Arial" w:cs="Arial"/>
                <w:sz w:val="24"/>
                <w:szCs w:val="24"/>
                <w:shd w:val="clear" w:color="auto" w:fill="FFFFFF"/>
              </w:rPr>
              <w:t xml:space="preserve">2009. évi XXXVII. törvény szerinti, az Országos Erdőállomány Adattárban nyilvántartott erdőt. A vizsgált tevékenység (módosítás) erdő igénybevételével nem jár, így az erdőkre gyakorolt közvetett hatása nincs. </w:t>
            </w:r>
          </w:p>
          <w:p w14:paraId="3B09B0A5"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 xml:space="preserve">A Településrendezési tervmódosítási eljárásában a környező erdők esetében a fenntartható erdőgazdálkodást és az erdők közérdekű szolgáltatásainak biztosítását nem látom veszélyeztetve, ezért a tervezettel, véleményezési dokumentációval kapcsolatban kifogást nem emelek. </w:t>
            </w:r>
          </w:p>
          <w:p w14:paraId="7DCA7637"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 xml:space="preserve">Valamint </w:t>
            </w:r>
            <w:r w:rsidRPr="00B37307">
              <w:rPr>
                <w:rFonts w:ascii="Arial" w:hAnsi="Arial" w:cs="Arial"/>
                <w:i/>
                <w:iCs/>
                <w:sz w:val="24"/>
                <w:szCs w:val="24"/>
                <w:shd w:val="clear" w:color="auto" w:fill="FFFFFF"/>
              </w:rPr>
              <w:t xml:space="preserve">az egyes tervek, illetve programok környezeti vizsgálatáról szóló 2/2005 (I.11.) Korm. rendelet 4. § (2) bekezdés </w:t>
            </w:r>
            <w:r w:rsidRPr="00B37307">
              <w:rPr>
                <w:rFonts w:ascii="Arial" w:hAnsi="Arial" w:cs="Arial"/>
                <w:sz w:val="24"/>
                <w:szCs w:val="24"/>
                <w:shd w:val="clear" w:color="auto" w:fill="FFFFFF"/>
              </w:rPr>
              <w:t xml:space="preserve">alapján megállapítom, hogy a várható környezeti hatások erdővédelmi </w:t>
            </w:r>
            <w:r w:rsidRPr="00B37307">
              <w:rPr>
                <w:rFonts w:ascii="Arial" w:hAnsi="Arial" w:cs="Arial"/>
                <w:sz w:val="24"/>
                <w:szCs w:val="24"/>
                <w:shd w:val="clear" w:color="auto" w:fill="FFFFFF"/>
              </w:rPr>
              <w:lastRenderedPageBreak/>
              <w:t>szempontból nem jelentősek, ezért a környezeti vizsgálattal kapcsolatos eljárást az erdészeti hatóság nem tartja szükségesnek.</w:t>
            </w:r>
          </w:p>
        </w:tc>
        <w:tc>
          <w:tcPr>
            <w:tcW w:w="2840" w:type="dxa"/>
            <w:tcBorders>
              <w:top w:val="single" w:sz="4" w:space="0" w:color="auto"/>
              <w:left w:val="single" w:sz="4" w:space="0" w:color="auto"/>
              <w:bottom w:val="single" w:sz="4" w:space="0" w:color="auto"/>
              <w:right w:val="single" w:sz="4" w:space="0" w:color="auto"/>
            </w:tcBorders>
            <w:hideMark/>
          </w:tcPr>
          <w:p w14:paraId="5B2618BC"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lastRenderedPageBreak/>
              <w:t>Észrevételt köszönjük.</w:t>
            </w:r>
          </w:p>
        </w:tc>
      </w:tr>
      <w:tr w:rsidR="00B37307" w:rsidRPr="00B37307" w14:paraId="507F8835" w14:textId="77777777">
        <w:tc>
          <w:tcPr>
            <w:tcW w:w="750" w:type="dxa"/>
            <w:tcBorders>
              <w:top w:val="single" w:sz="4" w:space="0" w:color="auto"/>
              <w:left w:val="single" w:sz="4" w:space="0" w:color="auto"/>
              <w:bottom w:val="single" w:sz="4" w:space="0" w:color="auto"/>
              <w:right w:val="single" w:sz="4" w:space="0" w:color="auto"/>
            </w:tcBorders>
            <w:hideMark/>
          </w:tcPr>
          <w:p w14:paraId="2AFC39AE"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12</w:t>
            </w:r>
          </w:p>
        </w:tc>
        <w:tc>
          <w:tcPr>
            <w:tcW w:w="2962" w:type="dxa"/>
            <w:tcBorders>
              <w:top w:val="single" w:sz="4" w:space="0" w:color="auto"/>
              <w:left w:val="single" w:sz="4" w:space="0" w:color="auto"/>
              <w:bottom w:val="single" w:sz="4" w:space="0" w:color="auto"/>
              <w:right w:val="single" w:sz="4" w:space="0" w:color="auto"/>
            </w:tcBorders>
            <w:hideMark/>
          </w:tcPr>
          <w:p w14:paraId="293D8115"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Fejér Vármegyei Főkapitányság Rendészeti Igazgatóság</w:t>
            </w:r>
          </w:p>
        </w:tc>
        <w:tc>
          <w:tcPr>
            <w:tcW w:w="7902" w:type="dxa"/>
            <w:tcBorders>
              <w:top w:val="single" w:sz="4" w:space="0" w:color="auto"/>
              <w:left w:val="single" w:sz="4" w:space="0" w:color="auto"/>
              <w:bottom w:val="single" w:sz="4" w:space="0" w:color="auto"/>
              <w:right w:val="single" w:sz="4" w:space="0" w:color="auto"/>
            </w:tcBorders>
            <w:hideMark/>
          </w:tcPr>
          <w:p w14:paraId="378DD74C"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314/2012. (XI. 8.) Kormányrendelet 9. mellékletének 21. pontjában meghatározottak alapján közöljük, hogy az államhatár rendje, a hattárrendsértések és határesemények megelőzéséhez szükséges feltételek biztosítása szempontjából Mór Város nem érintett, az országhatár melletti 100 méteres (illetve 10 kilométeres) sávot a tervezett koncepció nem érinti, oda ez alapján nem épül létesítmény. Az elkészült dokumentáció ilyen jellegű eszközöket, illetve szempontokat nem érint.</w:t>
            </w:r>
          </w:p>
          <w:p w14:paraId="57896230"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 fentiek alapján Mór város településrendezési eszközeinek módosításával, illetve Településtervével összefüggésben kifogást nem emelünk, észrevételünk, javaslatunk nincs.</w:t>
            </w:r>
          </w:p>
          <w:p w14:paraId="4C88B4A3" w14:textId="77777777" w:rsidR="00B37307" w:rsidRPr="00B37307" w:rsidRDefault="00B37307" w:rsidP="00B37307">
            <w:pPr>
              <w:spacing w:line="254" w:lineRule="auto"/>
              <w:jc w:val="both"/>
              <w:rPr>
                <w:rFonts w:ascii="Arial" w:hAnsi="Arial" w:cs="Arial"/>
                <w:sz w:val="24"/>
                <w:szCs w:val="24"/>
                <w:shd w:val="clear" w:color="auto" w:fill="FFFFFF"/>
              </w:rPr>
            </w:pPr>
            <w:r w:rsidRPr="00B37307">
              <w:rPr>
                <w:rFonts w:ascii="Arial" w:hAnsi="Arial" w:cs="Arial"/>
                <w:sz w:val="24"/>
                <w:szCs w:val="24"/>
                <w:shd w:val="clear" w:color="auto" w:fill="FFFFFF"/>
              </w:rPr>
              <w:t>Az egyes tervek és programok környezeti vizsgálatáról szóló 2/2005. (I. 11.) Kormányrendeletben foglaltak a Fejér Vármegyei Rendőr-főkapitányság részére nem határoz meg feladatot, az ott megfogalmazott kérdésekben hatóságunk továbbra sem rendelkezik kompetenciával.</w:t>
            </w:r>
          </w:p>
        </w:tc>
        <w:tc>
          <w:tcPr>
            <w:tcW w:w="2840" w:type="dxa"/>
            <w:tcBorders>
              <w:top w:val="single" w:sz="4" w:space="0" w:color="auto"/>
              <w:left w:val="single" w:sz="4" w:space="0" w:color="auto"/>
              <w:bottom w:val="single" w:sz="4" w:space="0" w:color="auto"/>
              <w:right w:val="single" w:sz="4" w:space="0" w:color="auto"/>
            </w:tcBorders>
            <w:hideMark/>
          </w:tcPr>
          <w:p w14:paraId="3386ABF4" w14:textId="77777777" w:rsidR="00B37307" w:rsidRPr="00B37307" w:rsidRDefault="00B37307" w:rsidP="00B37307">
            <w:pPr>
              <w:spacing w:line="254" w:lineRule="auto"/>
              <w:jc w:val="both"/>
              <w:rPr>
                <w:rFonts w:ascii="Arial" w:hAnsi="Arial" w:cs="Arial"/>
                <w:sz w:val="24"/>
                <w:szCs w:val="24"/>
              </w:rPr>
            </w:pPr>
            <w:r w:rsidRPr="00B37307">
              <w:rPr>
                <w:rFonts w:ascii="Arial" w:hAnsi="Arial" w:cs="Arial"/>
                <w:sz w:val="24"/>
                <w:szCs w:val="24"/>
              </w:rPr>
              <w:t>Észrevételt köszönjük.</w:t>
            </w:r>
          </w:p>
        </w:tc>
      </w:tr>
      <w:bookmarkEnd w:id="0"/>
    </w:tbl>
    <w:p w14:paraId="4799278E" w14:textId="77777777" w:rsidR="00B37307" w:rsidRPr="00B37307" w:rsidRDefault="00B37307" w:rsidP="00B37307">
      <w:pPr>
        <w:spacing w:after="0" w:line="254" w:lineRule="auto"/>
        <w:jc w:val="both"/>
        <w:rPr>
          <w:rFonts w:ascii="Calibri" w:eastAsia="Calibri" w:hAnsi="Calibri" w:cs="Times New Roman"/>
        </w:rPr>
      </w:pPr>
    </w:p>
    <w:p w14:paraId="54B514C3" w14:textId="77777777" w:rsidR="00B37307" w:rsidRPr="00C47C4B" w:rsidRDefault="00B37307"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B37307" w:rsidRPr="00C47C4B" w:rsidSect="00B3730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05AB3" w14:textId="77777777" w:rsidR="0017561E" w:rsidRDefault="0017561E">
      <w:pPr>
        <w:spacing w:after="0" w:line="240" w:lineRule="auto"/>
      </w:pPr>
      <w:r>
        <w:separator/>
      </w:r>
    </w:p>
  </w:endnote>
  <w:endnote w:type="continuationSeparator" w:id="0">
    <w:p w14:paraId="5CA90991" w14:textId="77777777" w:rsidR="0017561E" w:rsidRDefault="00175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6F55" w14:textId="77777777" w:rsidR="0017561E" w:rsidRDefault="0017561E">
      <w:pPr>
        <w:spacing w:after="0" w:line="240" w:lineRule="auto"/>
      </w:pPr>
      <w:r>
        <w:separator/>
      </w:r>
    </w:p>
  </w:footnote>
  <w:footnote w:type="continuationSeparator" w:id="0">
    <w:p w14:paraId="40BA934A" w14:textId="77777777" w:rsidR="0017561E" w:rsidRDefault="00175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23EC3D4F"/>
    <w:multiLevelType w:val="hybridMultilevel"/>
    <w:tmpl w:val="D90E715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num w:numId="1" w16cid:durableId="244730777">
    <w:abstractNumId w:val="0"/>
  </w:num>
  <w:num w:numId="2" w16cid:durableId="3408595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3"/>
  </w:num>
  <w:num w:numId="4" w16cid:durableId="2074574760">
    <w:abstractNumId w:val="4"/>
  </w:num>
  <w:num w:numId="5" w16cid:durableId="407653794">
    <w:abstractNumId w:val="6"/>
  </w:num>
  <w:num w:numId="6" w16cid:durableId="392849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8726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F3877"/>
    <w:rsid w:val="000F7555"/>
    <w:rsid w:val="00106828"/>
    <w:rsid w:val="00111136"/>
    <w:rsid w:val="00111375"/>
    <w:rsid w:val="00117EBA"/>
    <w:rsid w:val="00120576"/>
    <w:rsid w:val="00130C88"/>
    <w:rsid w:val="0014409D"/>
    <w:rsid w:val="00146352"/>
    <w:rsid w:val="0015055A"/>
    <w:rsid w:val="0015074C"/>
    <w:rsid w:val="00154C8C"/>
    <w:rsid w:val="00157B94"/>
    <w:rsid w:val="00164D9F"/>
    <w:rsid w:val="0017561E"/>
    <w:rsid w:val="001759D1"/>
    <w:rsid w:val="001775CB"/>
    <w:rsid w:val="00195DF7"/>
    <w:rsid w:val="001A5445"/>
    <w:rsid w:val="001B435E"/>
    <w:rsid w:val="001C015A"/>
    <w:rsid w:val="001C0811"/>
    <w:rsid w:val="001D0A16"/>
    <w:rsid w:val="001D17F6"/>
    <w:rsid w:val="001D39CF"/>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96911"/>
    <w:rsid w:val="002A1FD9"/>
    <w:rsid w:val="002A2624"/>
    <w:rsid w:val="002A389B"/>
    <w:rsid w:val="002D2329"/>
    <w:rsid w:val="002D69F5"/>
    <w:rsid w:val="002E7BA6"/>
    <w:rsid w:val="002F505B"/>
    <w:rsid w:val="00314A9F"/>
    <w:rsid w:val="003313AB"/>
    <w:rsid w:val="0033363C"/>
    <w:rsid w:val="0034201D"/>
    <w:rsid w:val="003619B0"/>
    <w:rsid w:val="00366FDB"/>
    <w:rsid w:val="0038264F"/>
    <w:rsid w:val="00391727"/>
    <w:rsid w:val="003B0232"/>
    <w:rsid w:val="003B6280"/>
    <w:rsid w:val="003C37AF"/>
    <w:rsid w:val="003D14E2"/>
    <w:rsid w:val="003D2CC2"/>
    <w:rsid w:val="003E1F1D"/>
    <w:rsid w:val="003E2631"/>
    <w:rsid w:val="003E745E"/>
    <w:rsid w:val="004013DD"/>
    <w:rsid w:val="004024E9"/>
    <w:rsid w:val="004118A3"/>
    <w:rsid w:val="00412945"/>
    <w:rsid w:val="00412A33"/>
    <w:rsid w:val="0041569D"/>
    <w:rsid w:val="0041686E"/>
    <w:rsid w:val="004316B7"/>
    <w:rsid w:val="004333FA"/>
    <w:rsid w:val="00443D62"/>
    <w:rsid w:val="00454023"/>
    <w:rsid w:val="00460D64"/>
    <w:rsid w:val="004615AE"/>
    <w:rsid w:val="00461FBC"/>
    <w:rsid w:val="00463766"/>
    <w:rsid w:val="00472B4A"/>
    <w:rsid w:val="00474A43"/>
    <w:rsid w:val="00475D87"/>
    <w:rsid w:val="00483209"/>
    <w:rsid w:val="0048675E"/>
    <w:rsid w:val="00491C0D"/>
    <w:rsid w:val="004954B6"/>
    <w:rsid w:val="00495B98"/>
    <w:rsid w:val="004A6DCE"/>
    <w:rsid w:val="004A7563"/>
    <w:rsid w:val="004B29DE"/>
    <w:rsid w:val="004B497A"/>
    <w:rsid w:val="004C17AA"/>
    <w:rsid w:val="004C2ACE"/>
    <w:rsid w:val="004C60CB"/>
    <w:rsid w:val="004D4F4D"/>
    <w:rsid w:val="004E132A"/>
    <w:rsid w:val="004E3C44"/>
    <w:rsid w:val="004F2DBC"/>
    <w:rsid w:val="00502BA4"/>
    <w:rsid w:val="00514D5D"/>
    <w:rsid w:val="00520342"/>
    <w:rsid w:val="005216A1"/>
    <w:rsid w:val="005271FD"/>
    <w:rsid w:val="005315C9"/>
    <w:rsid w:val="00550EAE"/>
    <w:rsid w:val="00560109"/>
    <w:rsid w:val="00562A76"/>
    <w:rsid w:val="00565773"/>
    <w:rsid w:val="00573323"/>
    <w:rsid w:val="00574777"/>
    <w:rsid w:val="00583A7E"/>
    <w:rsid w:val="00591942"/>
    <w:rsid w:val="005A3401"/>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36DD"/>
    <w:rsid w:val="006671AD"/>
    <w:rsid w:val="0066739F"/>
    <w:rsid w:val="00696104"/>
    <w:rsid w:val="006A3A43"/>
    <w:rsid w:val="006B31CA"/>
    <w:rsid w:val="006C056E"/>
    <w:rsid w:val="006C44F5"/>
    <w:rsid w:val="006D067F"/>
    <w:rsid w:val="006E4A45"/>
    <w:rsid w:val="006E6499"/>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66D6B"/>
    <w:rsid w:val="00973C51"/>
    <w:rsid w:val="009952AE"/>
    <w:rsid w:val="009A4C2B"/>
    <w:rsid w:val="009A64F7"/>
    <w:rsid w:val="009A70FE"/>
    <w:rsid w:val="009B7E7E"/>
    <w:rsid w:val="009C1DA5"/>
    <w:rsid w:val="009D30D2"/>
    <w:rsid w:val="009E1938"/>
    <w:rsid w:val="009F2905"/>
    <w:rsid w:val="00A10163"/>
    <w:rsid w:val="00A10C12"/>
    <w:rsid w:val="00A215C4"/>
    <w:rsid w:val="00A242DC"/>
    <w:rsid w:val="00A26B61"/>
    <w:rsid w:val="00A30161"/>
    <w:rsid w:val="00A36720"/>
    <w:rsid w:val="00A457F4"/>
    <w:rsid w:val="00A4599E"/>
    <w:rsid w:val="00A62D49"/>
    <w:rsid w:val="00A65C8A"/>
    <w:rsid w:val="00A72244"/>
    <w:rsid w:val="00AA1941"/>
    <w:rsid w:val="00AC625C"/>
    <w:rsid w:val="00AF0B35"/>
    <w:rsid w:val="00B03DE6"/>
    <w:rsid w:val="00B12111"/>
    <w:rsid w:val="00B12E12"/>
    <w:rsid w:val="00B2309B"/>
    <w:rsid w:val="00B2493D"/>
    <w:rsid w:val="00B27BAF"/>
    <w:rsid w:val="00B33397"/>
    <w:rsid w:val="00B35BFC"/>
    <w:rsid w:val="00B37307"/>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7ED2"/>
    <w:rsid w:val="00BD22AB"/>
    <w:rsid w:val="00BD27B5"/>
    <w:rsid w:val="00BD4941"/>
    <w:rsid w:val="00BD5EDB"/>
    <w:rsid w:val="00BD65EA"/>
    <w:rsid w:val="00BE521B"/>
    <w:rsid w:val="00BF035F"/>
    <w:rsid w:val="00BF77D0"/>
    <w:rsid w:val="00C013E0"/>
    <w:rsid w:val="00C03F9A"/>
    <w:rsid w:val="00C0667E"/>
    <w:rsid w:val="00C32F0F"/>
    <w:rsid w:val="00C4497A"/>
    <w:rsid w:val="00C47C4B"/>
    <w:rsid w:val="00C5317A"/>
    <w:rsid w:val="00C61D4F"/>
    <w:rsid w:val="00C62D3F"/>
    <w:rsid w:val="00C77D03"/>
    <w:rsid w:val="00C94BB0"/>
    <w:rsid w:val="00CA4066"/>
    <w:rsid w:val="00CA5B59"/>
    <w:rsid w:val="00CA7718"/>
    <w:rsid w:val="00CB0C5A"/>
    <w:rsid w:val="00CC26EB"/>
    <w:rsid w:val="00CC3D56"/>
    <w:rsid w:val="00CD02A6"/>
    <w:rsid w:val="00CE11A6"/>
    <w:rsid w:val="00CE12E7"/>
    <w:rsid w:val="00CF2C64"/>
    <w:rsid w:val="00D02BED"/>
    <w:rsid w:val="00D21551"/>
    <w:rsid w:val="00D218E1"/>
    <w:rsid w:val="00D26471"/>
    <w:rsid w:val="00D33E59"/>
    <w:rsid w:val="00D35C19"/>
    <w:rsid w:val="00D41E45"/>
    <w:rsid w:val="00D47D2C"/>
    <w:rsid w:val="00D54ACE"/>
    <w:rsid w:val="00D649B6"/>
    <w:rsid w:val="00D86338"/>
    <w:rsid w:val="00D9099D"/>
    <w:rsid w:val="00D914F4"/>
    <w:rsid w:val="00D925CD"/>
    <w:rsid w:val="00D93203"/>
    <w:rsid w:val="00DA0D84"/>
    <w:rsid w:val="00DC1B57"/>
    <w:rsid w:val="00DC5F3A"/>
    <w:rsid w:val="00DE4D55"/>
    <w:rsid w:val="00DF412D"/>
    <w:rsid w:val="00E032C8"/>
    <w:rsid w:val="00E17B17"/>
    <w:rsid w:val="00E23DE7"/>
    <w:rsid w:val="00E33475"/>
    <w:rsid w:val="00E35025"/>
    <w:rsid w:val="00E437A3"/>
    <w:rsid w:val="00E4642C"/>
    <w:rsid w:val="00E60FB1"/>
    <w:rsid w:val="00E77078"/>
    <w:rsid w:val="00E80520"/>
    <w:rsid w:val="00E86A9C"/>
    <w:rsid w:val="00E86D33"/>
    <w:rsid w:val="00E95DC1"/>
    <w:rsid w:val="00EA4CDE"/>
    <w:rsid w:val="00ED77E0"/>
    <w:rsid w:val="00EE1CB3"/>
    <w:rsid w:val="00EE3299"/>
    <w:rsid w:val="00EE3A1D"/>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9384C"/>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styleId="Rcsostblzat">
    <w:name w:val="Table Grid"/>
    <w:basedOn w:val="Normltblzat"/>
    <w:uiPriority w:val="39"/>
    <w:rsid w:val="00B3730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3044</Words>
  <Characters>21010</Characters>
  <Application>Microsoft Office Word</Application>
  <DocSecurity>0</DocSecurity>
  <Lines>175</Lines>
  <Paragraphs>48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3</cp:revision>
  <cp:lastPrinted>2026-03-09T07:37:00Z</cp:lastPrinted>
  <dcterms:created xsi:type="dcterms:W3CDTF">2026-05-27T09:25:00Z</dcterms:created>
  <dcterms:modified xsi:type="dcterms:W3CDTF">2026-05-27T13:07:00Z</dcterms:modified>
</cp:coreProperties>
</file>