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833D" w14:textId="2FF61875" w:rsidR="009E6B3F" w:rsidRPr="009E6B3F" w:rsidRDefault="009E6B3F" w:rsidP="009E6B3F">
      <w:pPr>
        <w:numPr>
          <w:ilvl w:val="0"/>
          <w:numId w:val="7"/>
        </w:numPr>
        <w:spacing w:after="0" w:line="240" w:lineRule="auto"/>
        <w:contextualSpacing/>
        <w:jc w:val="right"/>
        <w:rPr>
          <w:rFonts w:ascii="Arial" w:eastAsia="Calibri" w:hAnsi="Arial" w:cs="Arial"/>
          <w:i/>
          <w:iCs/>
          <w:kern w:val="2"/>
          <w:sz w:val="24"/>
          <w:szCs w:val="24"/>
          <w:u w:val="single"/>
          <w14:ligatures w14:val="standardContextual"/>
        </w:rPr>
      </w:pPr>
      <w:bookmarkStart w:id="0" w:name="_Hlk166313986"/>
      <w:r w:rsidRPr="009E6B3F">
        <w:rPr>
          <w:rFonts w:ascii="Arial" w:eastAsia="Calibri" w:hAnsi="Arial" w:cs="Arial"/>
          <w:i/>
          <w:iCs/>
          <w:kern w:val="2"/>
          <w:sz w:val="24"/>
          <w:szCs w:val="24"/>
          <w:u w:val="single"/>
          <w14:ligatures w14:val="standardContextual"/>
        </w:rPr>
        <w:t xml:space="preserve">melléklet a </w:t>
      </w:r>
      <w:r w:rsidR="00D236C8">
        <w:rPr>
          <w:rFonts w:ascii="Arial" w:eastAsia="Calibri" w:hAnsi="Arial" w:cs="Arial"/>
          <w:i/>
          <w:iCs/>
          <w:kern w:val="2"/>
          <w:sz w:val="24"/>
          <w:szCs w:val="24"/>
          <w:u w:val="single"/>
          <w14:ligatures w14:val="standardContextual"/>
        </w:rPr>
        <w:t>171</w:t>
      </w:r>
      <w:r w:rsidRPr="009E6B3F">
        <w:rPr>
          <w:rFonts w:ascii="Arial" w:eastAsia="Calibri" w:hAnsi="Arial" w:cs="Arial"/>
          <w:i/>
          <w:iCs/>
          <w:kern w:val="2"/>
          <w:sz w:val="24"/>
          <w:szCs w:val="24"/>
          <w:u w:val="single"/>
          <w14:ligatures w14:val="standardContextual"/>
        </w:rPr>
        <w:t>/2026. (</w:t>
      </w:r>
      <w:r w:rsidR="00D236C8">
        <w:rPr>
          <w:rFonts w:ascii="Arial" w:eastAsia="Calibri" w:hAnsi="Arial" w:cs="Arial"/>
          <w:i/>
          <w:iCs/>
          <w:kern w:val="2"/>
          <w:sz w:val="24"/>
          <w:szCs w:val="24"/>
          <w:u w:val="single"/>
          <w14:ligatures w14:val="standardContextual"/>
        </w:rPr>
        <w:t>V.27.</w:t>
      </w:r>
      <w:r w:rsidRPr="009E6B3F">
        <w:rPr>
          <w:rFonts w:ascii="Arial" w:eastAsia="Calibri" w:hAnsi="Arial" w:cs="Arial"/>
          <w:i/>
          <w:iCs/>
          <w:kern w:val="2"/>
          <w:sz w:val="24"/>
          <w:szCs w:val="24"/>
          <w:u w:val="single"/>
          <w14:ligatures w14:val="standardContextual"/>
        </w:rPr>
        <w:t>) határozathoz</w:t>
      </w:r>
    </w:p>
    <w:p w14:paraId="5A7CA495" w14:textId="77777777" w:rsidR="009E6B3F" w:rsidRPr="009E6B3F" w:rsidRDefault="009E6B3F" w:rsidP="009E6B3F">
      <w:pPr>
        <w:spacing w:after="240" w:line="240" w:lineRule="auto"/>
        <w:ind w:left="720"/>
        <w:contextualSpacing/>
        <w:jc w:val="both"/>
        <w:rPr>
          <w:rFonts w:ascii="Arial" w:eastAsia="Calibri" w:hAnsi="Arial" w:cs="Arial"/>
          <w:kern w:val="2"/>
          <w:sz w:val="24"/>
          <w:szCs w:val="24"/>
          <w:u w:val="single"/>
          <w14:ligatures w14:val="standardContextual"/>
        </w:rPr>
      </w:pPr>
    </w:p>
    <w:tbl>
      <w:tblPr>
        <w:tblStyle w:val="Rcsostblzat"/>
        <w:tblW w:w="14454" w:type="dxa"/>
        <w:tblInd w:w="0" w:type="dxa"/>
        <w:tblLook w:val="04A0" w:firstRow="1" w:lastRow="0" w:firstColumn="1" w:lastColumn="0" w:noHBand="0" w:noVBand="1"/>
      </w:tblPr>
      <w:tblGrid>
        <w:gridCol w:w="750"/>
        <w:gridCol w:w="2962"/>
        <w:gridCol w:w="7902"/>
        <w:gridCol w:w="2840"/>
      </w:tblGrid>
      <w:tr w:rsidR="009E6B3F" w:rsidRPr="009E6B3F" w14:paraId="1C61EDB2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D7D8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7301" w14:textId="77777777" w:rsidR="009E6B3F" w:rsidRPr="009E6B3F" w:rsidRDefault="009E6B3F" w:rsidP="009E6B3F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6B3F">
              <w:rPr>
                <w:rFonts w:ascii="Arial" w:hAnsi="Arial" w:cs="Arial"/>
                <w:b/>
                <w:bCs/>
                <w:sz w:val="24"/>
                <w:szCs w:val="24"/>
              </w:rPr>
              <w:t>E-TÉR-ben véleményező szervezet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B8D1" w14:textId="77777777" w:rsidR="009E6B3F" w:rsidRPr="009E6B3F" w:rsidRDefault="009E6B3F" w:rsidP="009E6B3F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6B3F">
              <w:rPr>
                <w:rFonts w:ascii="Arial" w:hAnsi="Arial" w:cs="Arial"/>
                <w:b/>
                <w:bCs/>
                <w:sz w:val="24"/>
                <w:szCs w:val="24"/>
              </w:rPr>
              <w:t>E-TÉR-ben beérkezett vélemények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0065" w14:textId="77777777" w:rsidR="009E6B3F" w:rsidRPr="009E6B3F" w:rsidRDefault="009E6B3F" w:rsidP="009E6B3F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6B3F">
              <w:rPr>
                <w:rFonts w:ascii="Arial" w:hAnsi="Arial" w:cs="Arial"/>
                <w:b/>
                <w:bCs/>
                <w:sz w:val="24"/>
                <w:szCs w:val="24"/>
              </w:rPr>
              <w:t>Válasz</w:t>
            </w:r>
          </w:p>
        </w:tc>
      </w:tr>
      <w:tr w:rsidR="009E6B3F" w:rsidRPr="009E6B3F" w14:paraId="35254954" w14:textId="77777777"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98AF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554E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Közép-dunántúli Vízügyi Igazgatóság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622E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A módosítás során Igazgatóságunk vagyonkezelésében lévő vízfolyás, vízilétesítmény nem érintett.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7E8A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13EB161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E325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F527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DCF8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A tervezett módosításokkal érintett ingatlanok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üzemelő,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 xml:space="preserve"> vagy távlati ivóvízbázis előzetesen lehatárolt, ill. hatósági határozatban kijelölt hidrogeológiai védőidomát, védőövezet- és védőterület-rendszerét nem érintik.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DD0C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31C50E4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263B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6FE9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2C9D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Igazgatóságunk nyilvántartása alapján a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b)-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>m) pontokban ismertetett módosítással érintett területek nem részei belvízvédelmi öblözetnek, illetve rendszeresen vízjárta terület övezetével sem érintettek.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5D53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1CC76ED5" w14:textId="77777777">
        <w:trPr>
          <w:trHeight w:val="9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5417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ED31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4DF1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Összegzés: A rendelkezésre álló dokumentáció alapján településrendezési eszközök módosításához vízügyi szempontból hozzájárulunk.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C190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20CBAD17" w14:textId="77777777">
        <w:trPr>
          <w:trHeight w:val="81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399BA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3ED4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Fejér Vármegyei Kormányhivatal Építésügyi és Örökségvédelmi Főosztály Örökségvédelmi 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FEB7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A b) jelű módosítás a Mór, 606/2, 489/1, 489/2 és 488 hrsz.-ú ingatlanokon Mór, a belváros műemléki környezetét, a Mór, 489/1 és 488 hrsz.-ú ingatlanokon nemzeti emléknek minősülő műemlék (Nepomuki Szent János-szobor)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ex-lege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 xml:space="preserve"> műemléki környezetét, továbbá a Mór, 488 hrsz.-ú ingatlanon nemzeti emléknek minősülő műemlékek (Lakóház, Kapucinus templom és rendház) exlege műemléki környezetét érinti. Az érintett ingatlanokon a tervezett változás következtében (Vt-8 - Vt-22) a megengedett legnagyobb épületmagasság 8,0 m-ről 9,0 m-re növekszik. A változás eredményeképp megvalósítani kívánt cél (telkek összevonása, a Zrínyi u. felől új tornaterem építése, meglévő iskolaépület bővítése) a védett Nepomuki Szent János-szobor, Lakóház, Kapucinus templom és rendház megjelenését nem érinti, ugyanakkor Mór, a belváros műemléki környezetét annak határán igen. A koncepció (új tornaterem létesítése) a terület beépítési intenzitását, hagyományos </w:t>
            </w: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jellegét megváltoztatja, ezért ezeknek a hatását a tervezés során mérsékelni kell.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990F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 xml:space="preserve">Észrevételt köszönjük. A magasabb rendű jogszabály az épületmagasság megemelését lehetővé teszi a Vt övezetben. Az épület engedélyezését megelőzően a területi tervtanács a tervezett épületet véleményezi, ahol a műemléki környezethez való illeszkedés vizsgálata megtörténik és </w:t>
            </w: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engedélyezésre javaslatot tesz.</w:t>
            </w:r>
          </w:p>
        </w:tc>
      </w:tr>
      <w:tr w:rsidR="009E6B3F" w:rsidRPr="009E6B3F" w14:paraId="07D27903" w14:textId="77777777">
        <w:trPr>
          <w:trHeight w:val="8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20A0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68BA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6FCE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A Kálvária-szoborcsoport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ex-lege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 xml:space="preserve"> műemléki környezetébe, valamint Gróf Rudolf Schaffgotsch síremléke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ex-lege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 xml:space="preserve"> műemléki környezetébe tartozik a tervlapon jelölteken felül a Mór, 097, 5944 és 7425 hrsz.-ú ingatlan, kérem ezek műemléki környezetként történő jelölését. (B15 tervlap)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E935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A külterületre vonatkozó szabályozást a külterületi szabályozási tervlapon kell jelölni a kettős szabályozás elkerülése érdekében. A védelem a 2. melléklet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-„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>Szőlőhegyek szabályozási tervlapok” – 5. lapján kerültek ábrázolásra. A 097 hrsz szürke színezése javításra kerül.</w:t>
            </w:r>
          </w:p>
        </w:tc>
      </w:tr>
      <w:tr w:rsidR="009E6B3F" w:rsidRPr="009E6B3F" w14:paraId="1558753E" w14:textId="77777777">
        <w:trPr>
          <w:trHeight w:val="8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2B01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80B5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7432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A Mór (Árkipuszta), 0282 hrsz.-ú ingatlanon álló nemzeti emléknek minősülő műemlék Nepomuki Szent János-kápolna műemléki védettsége és műemléki környezete (Mór, 0281/1, 0281/6, 0281/7 és 0281/8 hrsz.-ú ingatlanok) nem került feltüntetésre, kérem ennek pótlását. (B19 tervlap)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9735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A külterületre vonatkozó szabályozást a külterületi szabályozási tervlapon kell jelölni a kettős szabályozás elkerülése érdekében. Az ábrázolása a 1. melléklet Külterületi szabályozási tervlapon található.</w:t>
            </w:r>
          </w:p>
        </w:tc>
      </w:tr>
      <w:tr w:rsidR="009E6B3F" w:rsidRPr="009E6B3F" w14:paraId="408B5C1D" w14:textId="77777777">
        <w:trPr>
          <w:trHeight w:val="8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8CB5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FD02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F5F1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Mór, a belváros műemléki környezetébe tartoznak a Mór, 5365/2-5 ingatlanok, valamint a Mór, 5399/2-5410 hrsz.-ú ingatlanok a Hársfa utca mentén kb. 15 m-es sávban. Kérem az elmaradt jelölések pótlását. (B11 tervlap)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EB93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A külterületre vonatkozó szabályozást a külterületi szabályozási tervlapon kell jelölni a kettős szabályozás </w:t>
            </w: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 xml:space="preserve">elkerülése érdekében. A védelem a 2. melléklet </w:t>
            </w:r>
            <w:proofErr w:type="gramStart"/>
            <w:r w:rsidRPr="009E6B3F">
              <w:rPr>
                <w:rFonts w:ascii="Arial" w:hAnsi="Arial" w:cs="Arial"/>
                <w:sz w:val="24"/>
                <w:szCs w:val="24"/>
              </w:rPr>
              <w:t>-„</w:t>
            </w:r>
            <w:proofErr w:type="gramEnd"/>
            <w:r w:rsidRPr="009E6B3F">
              <w:rPr>
                <w:rFonts w:ascii="Arial" w:hAnsi="Arial" w:cs="Arial"/>
                <w:sz w:val="24"/>
                <w:szCs w:val="24"/>
              </w:rPr>
              <w:t>Szőlőhegyek szabályozási tervlapok” – 4. lapján kerültek ábrázolásra.</w:t>
            </w:r>
          </w:p>
        </w:tc>
      </w:tr>
      <w:tr w:rsidR="009E6B3F" w:rsidRPr="009E6B3F" w14:paraId="7E312F98" w14:textId="77777777">
        <w:trPr>
          <w:trHeight w:val="200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AC16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A2E2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Fejér Vármegyei Kormányhivatal Környezetvédelmi, Természetvédelmi és Hulladékgazdálkodási Főosztály Engedélyezési és Szakhatósági 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783E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E6B3F">
              <w:rPr>
                <w:rFonts w:ascii="Arial" w:hAnsi="Arial" w:cs="Arial"/>
                <w:color w:val="000000"/>
                <w:sz w:val="24"/>
                <w:szCs w:val="24"/>
              </w:rPr>
              <w:t>Parkoló létesítések kapcsán - c) módosítási pont - felhívom a figyelmet, hogy a településrendezési és építési követelmények alapszabályzatáról szóló 280/2024. (IX. 30.) Korm. rendelet (továbbiakban: TÉKA) 60.§ (1) bekezdése értelmében a 10 gépjárműnél nagyobb befogadóképességű felszíni várakozó helyet lehetőség szerint legalább 1,50 méter széles, a lehető legnagyobb mértékben összefüggő zöldfelületbe telepített fasor kialakításával fásítani kell. A TÉKA 60.§ (2) bek. értelmében a parkoló felületek árnyékolását biztosító fásítást minden megkezdett 6 db várakozóhely után 1 db nagy lombkoronájú, vagy minden megkezdett 4 db várakozóhely után 1 db közepes lombkoronájú környezettűrő, többször iskolázott lombos fa telepítésével kell megoldani.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A894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01B6D37F" w14:textId="77777777">
        <w:trPr>
          <w:trHeight w:val="20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E7E9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9BB4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1BDD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E6B3F">
              <w:rPr>
                <w:rFonts w:ascii="Arial" w:hAnsi="Arial" w:cs="Arial"/>
                <w:color w:val="000000"/>
                <w:sz w:val="24"/>
                <w:szCs w:val="24"/>
              </w:rPr>
              <w:t xml:space="preserve">Tárgyi módosításokkal kapcsolatban környezetvédelmi, táj- és természetvédelmi, valamint hulladékgazdálkodási szempontból kizáró ok a Környezetvédelmi hatóság részéről nem merült fel, így Mór Város településtervének 7. sz. módosítását - a fentiek </w:t>
            </w:r>
            <w:proofErr w:type="gramStart"/>
            <w:r w:rsidRPr="009E6B3F">
              <w:rPr>
                <w:rFonts w:ascii="Arial" w:hAnsi="Arial" w:cs="Arial"/>
                <w:color w:val="000000"/>
                <w:sz w:val="24"/>
                <w:szCs w:val="24"/>
              </w:rPr>
              <w:t>figyelembe vétele</w:t>
            </w:r>
            <w:proofErr w:type="gramEnd"/>
            <w:r w:rsidRPr="009E6B3F">
              <w:rPr>
                <w:rFonts w:ascii="Arial" w:hAnsi="Arial" w:cs="Arial"/>
                <w:color w:val="000000"/>
                <w:sz w:val="24"/>
                <w:szCs w:val="24"/>
              </w:rPr>
              <w:t xml:space="preserve"> mellett – elfogadásra javasolja.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AE19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42C5C337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5D84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7B80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Honvédelmi Minisztérium Hatósági Főosztály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D996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A fenti hivatkozási számon érkezett dokumentációban foglaltak a honvédelem érdekeit nem érintik, a Magyar Honvédség nemzeti és szövetségi védelmi feladatai végrehajtása biztosított, ezért az abban foglaltakkal kapcsolatban külön észrevételt nem teszek.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FB2D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11E51DA4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F4F7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755A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Országos Vízügyi Főigazgatóság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04CA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 xml:space="preserve">Tájékoztatom Önt, hogy a településtervek tartalmáról, elkészítésének és elfogadásának rendjéről, valamint egyes településrendezési sajátos </w:t>
            </w: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jogintézményekről szóló 419/2021. (VII. 15.) Kormányrendelet kapcsán az Országos Vízügyi Főigazgatóság (a továbbiakban: OVF) véleményezésre minden esetben a 12 Vízügyi Igazgatóság (a továbbiakban: VIZIG) közül a működési területtel érintett VIZIG-et/VIZIG-eket kéri fel, mivel megfelelő részletezettségű információval és helyismerettel csak a területileg illetékes VIZIG-ek rendelkeznek.</w:t>
            </w:r>
          </w:p>
          <w:p w14:paraId="55A3A667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Kérem a VIZIG/VIZIG-ek által benyújtásra kerülő véleményt az OVF véleményének is tekintsék.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A247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9E6B3F" w:rsidRPr="009E6B3F" w14:paraId="1C7AF2A6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D7A0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E4B3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Budapest Főváros Kormányhivatala Országos Közúti és Hajózási Hatósági Főosztály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7D1F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A településtervek tartalmáról, elkészítésének és elfogadásának rendjéről, valamint egyes településrendezési sajátos jogintézményekről szóló 419/2021. (VII. 15.) Korm. rendelet 11. melléklet 13. pontja szerint Budapest Főváros Kormányhivatala gyorsforgalmi utat, közúti határátkelőhelyet, szintbeli közúti-vasúti átjárót érintő településrendezési eszköz esetében vesz részt a véleményezési eljárásban. Fentiekre tekintettel a településrendezési eszközök módosításával kapcsolatban, hatáskör hiányában észrevételt nem teszek.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DCCA" w14:textId="77777777" w:rsidR="009E6B3F" w:rsidRPr="009E6B3F" w:rsidRDefault="009E6B3F" w:rsidP="009E6B3F">
            <w:pPr>
              <w:spacing w:line="254" w:lineRule="auto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6E3B7B76" w14:textId="77777777">
        <w:trPr>
          <w:trHeight w:val="116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85CD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C57E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Fejér Vármegyei Kormányhivatal Állami Főépítész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3935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1. A Kr. 59. § (2) bekezdése szerint a településterv, kézikönyv készítését és módosítását, valamint a településképi rendelet módosítását az önkormányzat képviselő-testületének a) a készítés vagy módosítás tényét, b) új beépítésre szánt terület kijelölése esetén a Méptv.-ben foglalt követelményeknek való megfelelést, c) amennyiben indokolt, a kiemelt fejlesztési területté nyilvánítást és d) a 7. § (7) bekezdése szerinti feljegyzés, a kézikönyv és a településképi rendelet esetében a szakmai összefoglaló elfogadását tartalmazó döntése alapozza meg. A tervdokumentáció tartalmazza Mór Város Önkormányzat Képviselő-testületének 280/2025. (IX.24.) határozatát „Mór város településterv több ponton történő 7. számú módosítására vonatkozó eljárás megindítása tárgyában.”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7634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7762B04B" w14:textId="77777777">
        <w:trPr>
          <w:trHeight w:val="11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3E26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2161" w14:textId="77777777" w:rsidR="009E6B3F" w:rsidRPr="009E6B3F" w:rsidRDefault="009E6B3F" w:rsidP="009E6B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5D88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2. A rendelettervezet 2. §-a szerint az alaprendelet 33. §-a két bekezdéssel egészül ki az alábbiak szerint: „(12) Új tömbfeltárással kialakított telek megközelítése nem biztosítható külterületi dűlőútról. (13) Külterületi dűlőúttal határos építési telken a külterületi dűlőútról gépkocsi behajtó nem létesíthető, melléképület a külterületi dűlőút irányába nem nyitható.” Az országos településrendezési és építési követelményekről szóló 253/1997. (XII. 20.) Korm. rendelet (továbbiakban: OTÉK) a közlekedési területek meghatározásánál nem nevez meg „dűlőút” kategóriát. Kérem a szabályozásban az OTÉK alapján ismert kategória alkalmazását a közlekedési terület besorolásánál. Az egyes földügyi eljárások részletes szabályairól szóló 384/2016. (XII. 2.) Korm. rendelet 23/E. § (1) bekezdése szerint: „A telket – a nem építési telek telekegyesítése és telekhatár-rendezése, erdő művelés ág esetén a telekfelosztás és telekcsoport újraosztása, a zárt sorú beépítési módú beépített építési telek telekfelosztása, valamint a vízgazdálkodási terület övezetbe eső telkek kivételével – úgy kell kialakítani, hogy a kialakuló telkek közterületnek gépjármű-közlekedésre alkalmas részéről az adott közterületre vonatkozó jogszabályi előírások szerint vagy önálló helyrajzi számon nyilvántartott magánútról gépjárművel közvetlenül, vagy hídon illetve átereszen keresztül megközelíthetőek legyenek.” Fenti jogszabályhely figyelembevételével, amennyiben a kialakuló telkek közterületnek gépjármű-közlekedésre alkalmas részéről a telekalakítás követően gépjárművel közvetlenül megközelíthetőek és minden egyéb vizsgálati szempontnak megfelelnek, úgy a telekalakítás engedélyezésre kerül. A rendelettervezet 2. §-ban foglaltak alapján a HÉSZ 33. §-ának két új (12) és (13) bekezdése nem összeegyeztethető a 384/2016. (XII. 2.) Korm. rendelet 23/E.§ (1) bekezdésével. Kérem a rendelettervezet 2. §-ában foglaltak átgondolását és a településrendezési cél más eszközökkel történő megoldását. Az alátámasztó javaslat j) pontjában szereplő módosítási indokokat figyelembe véve például az adott </w:t>
            </w:r>
            <w:r w:rsidRPr="009E6B3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övezetben kialakítható legkisebb telekterület módosítása, illetve a telek be nem építhető részének kijelölése is megoldásul szolgálhat.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F556" w14:textId="77777777" w:rsidR="009E6B3F" w:rsidRPr="009E6B3F" w:rsidRDefault="009E6B3F" w:rsidP="009E6B3F">
            <w:pPr>
              <w:widowControl w:val="0"/>
              <w:tabs>
                <w:tab w:val="left" w:pos="7380"/>
              </w:tabs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9E6B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Általános szabályozás megalkotása helyett, majd a felmerülő eseteknél konkrét szabályozást alkalmazunk. Az észrevétel alapján a HÉSZ rendelet tervezet 33.§ (12) és (13) bekezdésére tett javaslatot töröljük.</w:t>
            </w:r>
          </w:p>
        </w:tc>
      </w:tr>
      <w:tr w:rsidR="009E6B3F" w:rsidRPr="009E6B3F" w14:paraId="6BC1A3CE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1519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30A1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Budapest Főváros Kormányhivatala Népegészségügyi Főosztály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7472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településen természetes gyógytényező érintettsége nem áll fenn, ezért jelen esetben a BFKH véleményezési lehetőséggel nem rendelkezik.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F8E1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59973D51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0E64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1C93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Duna-Ipoly Nemzeti Park Igazgatóság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EBD2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Mór Város településszerkezeti tervének és helyi építési szabályzatának 7. számú módosításával kapcsolatosan, az E-TÉR felületre feltöltött egyeztetési anyag alapján táj- és természetvédelmi szempontból az alábbi véleményt adjuk: A módosítások az alábbi területekre vonatkoznak: b) A Szent Erzsébet Római Katolikus Általános Iskola fejlesztéséhez szükséges területbővítés biztosítása c) A 1416/15 hrsz-ú közterület Vámos közt és a kórház-rendelőintézetet összekötő út területének parkolókkal történő bővítése d) A Felsődobos Fő utca végén található jelenleg Má-Ké övezeti besorolású buszforduló területének a kialakult használatnak megfelelő Köu övezetbe történő átsorolása e) A 3607/2 hrsz-ú magánút színezésének javítása f) A Nefelejcs köz elnevezésű gyalogút valós, kialakult állapotnak megfelelő szabályozása g) A HÉSZ belterület szabályozási tervlap szelvényeinek összehangolása és javítása h) A 1939/9 hrsz-ú ingatlanon építési hely jelölése i) A HÉSZ. szennyvízelvezetés fejezet korrekciója j) A HÉSZ. III. fejezetében a telekalakítás általános szabályainál új előírás beépítése a belterületi telek külterületi útról megközelíthetőségére vonatkozóan k) A településkép védelmi rendelettel összhangban a helyi védett jogi jelleg felülvizsgálatát követően a helyi védett épületek jelölésének szabályozási terven történő felülvizsgálata l) A 3265/6 hrsz-ú benzinkút terület övezeti besorolás felülvizsgálata m) Szabályozási vonal meghatározása az Árki puszta 3600 hrsz-ú ingatlannal határos 0322 és 0228/2 hrsz-ú </w:t>
            </w: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útszakaszok telekhatár rendezéséhez A tervezett módosítások által érintett területek nem részei országos jelentőségű védett természeti területnek, közösségi jelentőségű természetvédelmi rendeltetésű (Natura 2000) területnek, az ökológiai hálózat övezeteinek, valamint egyéb táj- és természetvédelmi kijelölés alatt álló területnek. A területekre vonatkozóan Igazgatóságunk nem rendelkezik védett növény- és állatfajok előfordulásáról adattal. Figyelembe véve a területek jelenlegi szabályozását, valamint a módosítok kis mértékét, a módosításokat Igazgatóságunk táj- és természetvédelmi szempontból elfogadhatónak tartja, a tervek jóváhagyása ellen kifogást nem emel. Állásfoglalásunkat a településtervek tartalmáról, elkészítésének és elfogadásának rendjéről, valamint egyes településrendezési sajátos jogintézményekről szóló 419/2021. (VII. 15.) Korm. rendelet 68.§, továbbá a természetvédelmi hatósági és igazgatási feladatokat ellátó szervek kijelöléséről szóló 625/2022. (XII.30.) Korm. rendelet 19.§ f) pontja alapján adtuk ki.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CEE0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9E6B3F" w:rsidRPr="009E6B3F" w14:paraId="77E421C9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3361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D9BF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Építési és Közlekedési Minisztérium Vasúti Hatósági Főosztály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92F21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Mór város településterv módosítása vonatkozásában a vasúti közlekedési hatóság észrevételt nem tesz. Egyebekben tájékoztatom, hogy a fejlesztés megvalósítási szakaszában az egyes közérdeken alapuló kényszerítő indok alapján eljáró szakhatóságok kijelöléséről szóló 531/2017. (XII. 29.) Korm. rendelet 1. melléklet 4. Építésügyi ügyek 21. pontjában foglaltak teljesülése esetén az építtetőnek a vasúti közlekedési hatóságot, mint szakhatóságot kell megkeresnie.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EE6A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451A7B47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0E97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5FFF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Nemzeti Média- és Hírközlési Hatóság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6266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tervezet hírközlési érdeket nem sért, a tervezet ellen a Hatóság kifogást nem emel.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B5B3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9E6B3F" w:rsidRPr="009E6B3F" w14:paraId="3CFEA30B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382C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C09C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Szabályozott Tevékenységek Felügyeleti Hatósága Bányászati és Gázipari Főosztály Veszprémi Bányafelügyeleti 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E53C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Bányafelügyelet megállapította, hogy a hatáskörébe tartozó szakmai kérdések tekintetében érintett, mivel a módosítással érintett ingatlanok bányaterületet érintenek. A módosítással érintett területeken földtani veszélyforrás nincs, ásványvagyon védelmi és bányászati jogot érintő problémát nem vet fel. </w:t>
            </w:r>
          </w:p>
          <w:p w14:paraId="4A52E9FD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Mór Városi Önkormányzat településrendezési eszközeinek 7. sz. módosításával kapcsolatban megállapítható, hogy jelenleg a közigazgatási területén található a Vértesi Erőmű Rt. Pusztavám VI. – (Márkushegyi aknaüzem) - szén védnevű bányatelke, ezért a módosításokat a Bányavállalkozóval egyeztetni szükséges. </w:t>
            </w:r>
          </w:p>
          <w:p w14:paraId="69E77BC7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Az 1993. évi XLVIII. törvény (Bt.) 39. § (3) szerint a területrendezési tervek, illetőleg a településrendezési eszközök kidolgozásánál, módosításánál - a bányafelügyelet megkeresésével - figyelembe kell venni a nyilvántartott ásványi nyersanyagvagyont tartalmazó területeket. </w:t>
            </w:r>
          </w:p>
          <w:p w14:paraId="70847E92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Felhívjuk továbbá a figyelmet a 9/2019 (VI.14.) MvM rendelet 8. § (1) bekezdésére mely szerint az ásványi nyersanyagvagyon-terület övezeteket a településrendezési eszközökben kell tényleges kiterje-désének megfelelően lehatárolni. </w:t>
            </w:r>
          </w:p>
          <w:p w14:paraId="25F89BDB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Az MvM rendelet (2) bekezdés szerint, az (1) bekezdés szerint kijelölt területen, a településrendezési eszközökben csak olyan terület-felhasználási egység, építési övezet vagy övezet jelölhető ki, amely az ásványi nyersanyagvagyon távlati kitermelését nem lehetetleníti el.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DAED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9E6B3F" w:rsidRPr="009E6B3F" w14:paraId="16FD7E13" w14:textId="7777777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BAE2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3A6F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Pest Vármegyei Kormányhivatal Agrárügyi Főosztály Erdőfelügyeleti Osztály</w:t>
            </w:r>
          </w:p>
        </w:tc>
        <w:tc>
          <w:tcPr>
            <w:tcW w:w="7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6EFF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tervezett módosítások közvetlenül nem érintenek </w:t>
            </w:r>
            <w:r w:rsidRPr="009E6B3F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 xml:space="preserve">az erdőről, az erdő védelméről és az erdőgazdálkodásról szóló </w:t>
            </w: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2009. évi XXXVII. törvény szerinti, az Országos Erdőállomány Adattárban nyilvántartott erdőt. A vizsgált tevékenység (módosítás) erdő igénybevételével nem jár, így az erdőkre gyakorolt közvetett hatása nincs. </w:t>
            </w:r>
          </w:p>
          <w:p w14:paraId="6847E8BA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E6B3F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 Településrendezési tervmódosítási eljárásában a környező erdők esetében a fenntartható erdőgazdálkodást és az erdők közérdekű szolgáltatásainak biztosítását nem látom veszélyeztetve, ezért a tervezettel, véleményezési dokumentációval kapcsolatban kifogást nem emelek.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1B56" w14:textId="77777777" w:rsidR="009E6B3F" w:rsidRPr="009E6B3F" w:rsidRDefault="009E6B3F" w:rsidP="009E6B3F">
            <w:pPr>
              <w:spacing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B3F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</w:tbl>
    <w:p w14:paraId="15DA4B7D" w14:textId="77777777" w:rsidR="009E6B3F" w:rsidRPr="009E6B3F" w:rsidRDefault="009E6B3F" w:rsidP="009E6B3F">
      <w:pPr>
        <w:spacing w:after="0" w:line="254" w:lineRule="auto"/>
        <w:jc w:val="both"/>
        <w:rPr>
          <w:rFonts w:ascii="Calibri" w:eastAsia="Calibri" w:hAnsi="Calibri" w:cs="Times New Roman"/>
        </w:rPr>
      </w:pPr>
    </w:p>
    <w:bookmarkEnd w:id="0"/>
    <w:p w14:paraId="728EB0CE" w14:textId="77777777" w:rsidR="009E6B3F" w:rsidRPr="009E6B3F" w:rsidRDefault="009E6B3F" w:rsidP="009E6B3F">
      <w:pPr>
        <w:spacing w:after="0" w:line="254" w:lineRule="auto"/>
        <w:jc w:val="both"/>
        <w:rPr>
          <w:rFonts w:ascii="Calibri" w:eastAsia="Calibri" w:hAnsi="Calibri" w:cs="Times New Roman"/>
        </w:rPr>
      </w:pPr>
    </w:p>
    <w:p w14:paraId="5718B54A" w14:textId="538702EE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9E6B3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E9BD8" w14:textId="77777777" w:rsidR="005F6028" w:rsidRDefault="005F6028">
      <w:pPr>
        <w:spacing w:after="0" w:line="240" w:lineRule="auto"/>
      </w:pPr>
      <w:r>
        <w:separator/>
      </w:r>
    </w:p>
  </w:endnote>
  <w:endnote w:type="continuationSeparator" w:id="0">
    <w:p w14:paraId="35BA1E5E" w14:textId="77777777" w:rsidR="005F6028" w:rsidRDefault="005F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E5598" w14:textId="77777777" w:rsidR="005F6028" w:rsidRDefault="005F6028">
      <w:pPr>
        <w:spacing w:after="0" w:line="240" w:lineRule="auto"/>
      </w:pPr>
      <w:r>
        <w:separator/>
      </w:r>
    </w:p>
  </w:footnote>
  <w:footnote w:type="continuationSeparator" w:id="0">
    <w:p w14:paraId="7DE876A1" w14:textId="77777777" w:rsidR="005F6028" w:rsidRDefault="005F6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4"/>
  </w:num>
  <w:num w:numId="5" w16cid:durableId="407653794">
    <w:abstractNumId w:val="6"/>
  </w:num>
  <w:num w:numId="6" w16cid:durableId="39284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94642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73F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5F6028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63C0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E6B3F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03124"/>
    <w:rsid w:val="00D21551"/>
    <w:rsid w:val="00D218E1"/>
    <w:rsid w:val="00D236C8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table" w:styleId="Rcsostblzat">
    <w:name w:val="Table Grid"/>
    <w:basedOn w:val="Normltblzat"/>
    <w:uiPriority w:val="39"/>
    <w:rsid w:val="009E6B3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1988</Words>
  <Characters>13721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2026-05-27T09:22:00Z</dcterms:created>
  <dcterms:modified xsi:type="dcterms:W3CDTF">2026-05-27T13:03:00Z</dcterms:modified>
</cp:coreProperties>
</file>