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1CEE" w14:textId="77777777" w:rsidR="00850AD9" w:rsidRDefault="00850AD9" w:rsidP="00850AD9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Mór Városi Önkormányzat Képviselő-testületének</w:t>
      </w:r>
      <w:r>
        <w:rPr>
          <w:rFonts w:ascii="Arial" w:hAnsi="Arial" w:cs="Arial"/>
          <w:b/>
          <w:bCs/>
        </w:rPr>
        <w:br/>
        <w:t>1/2022. (I. 31.) önkormányzati rendelete</w:t>
      </w:r>
      <w:r>
        <w:rPr>
          <w:rFonts w:ascii="Arial" w:hAnsi="Arial" w:cs="Arial"/>
          <w:b/>
          <w:bCs/>
        </w:rPr>
        <w:br/>
        <w:t>az egészségügyi alapellátási körzetekről szóló 20/2002. (VI.28.) önkormányzati rendelet módosításáról</w:t>
      </w:r>
    </w:p>
    <w:p w14:paraId="222186F1" w14:textId="77777777" w:rsidR="00850AD9" w:rsidRDefault="00850AD9" w:rsidP="00850AD9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Mór Városi Önkormányzat Képviselő-testülete az egészségügyi alapellátásról szóló 2015. évi CXXIII. törvény 6. § (1) bekezdésében kapott felhatalmazás alapján, Magyarország helyi önkormányzatairól szóló 2011. évi CLXXXIX. törvény 13. § (1) bekezdés 4. pontjában és az egészségügyi alapellátásról szóló 2015. évi CXXIII. törvény 5. § (1) bekezdésében meghatározott feladatkörében eljárva a következőket rendeli el:</w:t>
      </w:r>
    </w:p>
    <w:p w14:paraId="7B429307" w14:textId="77777777" w:rsidR="00850AD9" w:rsidRDefault="00850AD9" w:rsidP="00850AD9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§</w:t>
      </w:r>
    </w:p>
    <w:p w14:paraId="440F7EAF" w14:textId="77777777" w:rsidR="00850AD9" w:rsidRDefault="00850AD9" w:rsidP="00850AD9">
      <w:pPr>
        <w:pStyle w:val="Szvegtrzs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Mór Városi Önkormányzat Képviselő-testületének az egészségügyi alapellátási körzetekről szóló 20/2002. (VI.28.) önkormányzati rendelete (a továbbiakban: Rendelet) bevezető része helyébe a következő rendelkezés lép:</w:t>
      </w:r>
    </w:p>
    <w:p w14:paraId="217BE541" w14:textId="77777777" w:rsidR="00850AD9" w:rsidRDefault="00850AD9" w:rsidP="00850AD9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„Mór Város Önkormányzat Képviselő-testülete az egészségügyi alapellátásról szóló 2015. évi CXXIII. törvény 6. § (1) bekezdésében kapott felhatalmazás alapján, Magyarország helyi önkormányzatairól szóló 2011. évi CLXXXIX. törvény 13. § (1) bekezdés 4. pontjában és az egészségügyi alapellátásról szóló 2015. évi CXXIII. törvény 5. § (1) bekezdésében meghatározott feladatkörében eljárva a következőket rendeli el:”</w:t>
      </w:r>
    </w:p>
    <w:p w14:paraId="2916B4BF" w14:textId="77777777" w:rsidR="00850AD9" w:rsidRDefault="00850AD9" w:rsidP="00850AD9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§</w:t>
      </w:r>
    </w:p>
    <w:p w14:paraId="6720DDD3" w14:textId="77777777" w:rsidR="00850AD9" w:rsidRDefault="00850AD9" w:rsidP="00850AD9">
      <w:pPr>
        <w:pStyle w:val="Szvegtrzs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1. §-a helyébe a következő rendelkezés lép:</w:t>
      </w:r>
    </w:p>
    <w:p w14:paraId="72EACAB4" w14:textId="77777777" w:rsidR="00850AD9" w:rsidRDefault="00850AD9" w:rsidP="00850AD9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„1. §</w:t>
      </w:r>
    </w:p>
    <w:p w14:paraId="346F608A" w14:textId="77777777" w:rsidR="00850AD9" w:rsidRDefault="00850AD9" w:rsidP="00850AD9">
      <w:pPr>
        <w:pStyle w:val="Szvegtrzs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rendelet hatálya az önkormányzat által fenntartott egészségügyi szolgáltatás keretében – az általa kialakított körzetekben – egészségügyi alapellátást végző háziorvosokra, házi gyermekorvosokra és fogorvosokra terjed ki. A védőnői és iskola-védőnői körzeteket külön önkormányzati rendelet szabályozza.”</w:t>
      </w:r>
    </w:p>
    <w:p w14:paraId="2FD75F6E" w14:textId="77777777" w:rsidR="00850AD9" w:rsidRDefault="00850AD9" w:rsidP="00850AD9">
      <w:pPr>
        <w:pStyle w:val="Szvegtrzs"/>
        <w:spacing w:after="240" w:line="240" w:lineRule="auto"/>
        <w:jc w:val="both"/>
        <w:rPr>
          <w:rFonts w:ascii="Arial" w:hAnsi="Arial" w:cs="Arial"/>
        </w:rPr>
      </w:pPr>
    </w:p>
    <w:p w14:paraId="7474DBDF" w14:textId="77777777" w:rsidR="00850AD9" w:rsidRDefault="00850AD9" w:rsidP="00850AD9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§</w:t>
      </w:r>
    </w:p>
    <w:p w14:paraId="4223DCD8" w14:textId="77777777" w:rsidR="00850AD9" w:rsidRDefault="00850AD9" w:rsidP="00850AD9">
      <w:pPr>
        <w:pStyle w:val="Szvegtrzs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2. §-a helyébe a következő rendelkezés lép:</w:t>
      </w:r>
    </w:p>
    <w:p w14:paraId="74DC146C" w14:textId="77777777" w:rsidR="00850AD9" w:rsidRDefault="00850AD9" w:rsidP="00850AD9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„2. §</w:t>
      </w:r>
    </w:p>
    <w:p w14:paraId="3A0857CA" w14:textId="77777777" w:rsidR="00850AD9" w:rsidRDefault="00850AD9" w:rsidP="00850AD9">
      <w:pPr>
        <w:pStyle w:val="Szvegtrzs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alapellátási körzetek Móron a következők:</w:t>
      </w:r>
    </w:p>
    <w:p w14:paraId="6D1CB13A" w14:textId="77777777" w:rsidR="00850AD9" w:rsidRDefault="00850AD9" w:rsidP="00850AD9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a)</w:t>
      </w:r>
      <w:r>
        <w:rPr>
          <w:rFonts w:ascii="Arial" w:hAnsi="Arial" w:cs="Arial"/>
        </w:rPr>
        <w:tab/>
        <w:t>fogorvosi körzetek I-IV-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 terjedő számozással az 1. számú</w:t>
      </w:r>
    </w:p>
    <w:p w14:paraId="00C7FDE7" w14:textId="77777777" w:rsidR="00850AD9" w:rsidRDefault="00850AD9" w:rsidP="00850AD9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b)</w:t>
      </w:r>
      <w:r>
        <w:rPr>
          <w:rFonts w:ascii="Arial" w:hAnsi="Arial" w:cs="Arial"/>
        </w:rPr>
        <w:tab/>
        <w:t>házi gyermekorvosi körzetek I-IV-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 terjedő számozással a 2. számú</w:t>
      </w:r>
    </w:p>
    <w:p w14:paraId="136435E7" w14:textId="77777777" w:rsidR="00850AD9" w:rsidRDefault="00850AD9" w:rsidP="00850AD9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c)</w:t>
      </w:r>
      <w:r>
        <w:rPr>
          <w:rFonts w:ascii="Arial" w:hAnsi="Arial" w:cs="Arial"/>
        </w:rPr>
        <w:tab/>
        <w:t>háziorvosi körzetek 1 - 6-ig terjedő számozással a 3. számú</w:t>
      </w:r>
    </w:p>
    <w:p w14:paraId="06748E21" w14:textId="77777777" w:rsidR="00850AD9" w:rsidRDefault="00850AD9" w:rsidP="00850AD9">
      <w:pPr>
        <w:pStyle w:val="Szvegtrzs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melléklet szerint rögzített területi beosztással és működési területtel.”</w:t>
      </w:r>
    </w:p>
    <w:p w14:paraId="407D313D" w14:textId="77777777" w:rsidR="00850AD9" w:rsidRDefault="00850AD9" w:rsidP="00850AD9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§</w:t>
      </w:r>
    </w:p>
    <w:p w14:paraId="1DD6B78F" w14:textId="77777777" w:rsidR="00850AD9" w:rsidRDefault="00850AD9" w:rsidP="00850AD9">
      <w:pPr>
        <w:pStyle w:val="Szvegtrzs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Hatályát veszti a Rendelet</w:t>
      </w:r>
    </w:p>
    <w:p w14:paraId="514CA232" w14:textId="77777777" w:rsidR="00850AD9" w:rsidRDefault="00850AD9" w:rsidP="00850AD9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a)</w:t>
      </w:r>
      <w:r>
        <w:rPr>
          <w:rFonts w:ascii="Arial" w:hAnsi="Arial" w:cs="Arial"/>
        </w:rPr>
        <w:tab/>
        <w:t>4. melléklete,</w:t>
      </w:r>
    </w:p>
    <w:p w14:paraId="03F72951" w14:textId="77777777" w:rsidR="00850AD9" w:rsidRDefault="00850AD9" w:rsidP="00850AD9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b)</w:t>
      </w:r>
      <w:r>
        <w:rPr>
          <w:rFonts w:ascii="Arial" w:hAnsi="Arial" w:cs="Arial"/>
        </w:rPr>
        <w:tab/>
        <w:t>5. melléklete.</w:t>
      </w:r>
    </w:p>
    <w:p w14:paraId="3BF8B10A" w14:textId="77777777" w:rsidR="00850AD9" w:rsidRDefault="00850AD9" w:rsidP="00850AD9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§</w:t>
      </w:r>
    </w:p>
    <w:p w14:paraId="4EAC9157" w14:textId="77777777" w:rsidR="00850AD9" w:rsidRDefault="00850AD9" w:rsidP="00850AD9">
      <w:pPr>
        <w:pStyle w:val="Szvegtrzs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Ez a rendelet a kihirdetését követő napon lép hatályba.</w:t>
      </w:r>
    </w:p>
    <w:p w14:paraId="3C3078E4" w14:textId="5522DE65" w:rsidR="00111592" w:rsidRDefault="00111592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5BAB6D6" w14:textId="57050A08" w:rsidR="00111592" w:rsidRDefault="00111592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75EAA06" w14:textId="77777777" w:rsidR="00111592" w:rsidRDefault="00111592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74B4B60" w14:textId="77777777" w:rsidR="00111592" w:rsidRDefault="00111592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9E1270F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1C20702E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Fenyves Péter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Dr. Taba Nikoletta</w:t>
      </w:r>
    </w:p>
    <w:p w14:paraId="237C5CB8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polgármester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76DFDEFB" w14:textId="77777777" w:rsidR="00111592" w:rsidRDefault="00111592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673DFC2B" w14:textId="278365A9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>Záradék:</w:t>
      </w:r>
    </w:p>
    <w:p w14:paraId="4FFFF0DC" w14:textId="5DCCA9C4" w:rsidR="00521D97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A rendeletet 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202</w:t>
      </w:r>
      <w:r w:rsidR="00850AD9">
        <w:rPr>
          <w:rFonts w:ascii="Arial" w:eastAsia="Times New Roman" w:hAnsi="Arial" w:cs="Arial"/>
          <w:sz w:val="24"/>
          <w:szCs w:val="28"/>
          <w:lang w:eastAsia="hu-HU"/>
        </w:rPr>
        <w:t>2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.</w:t>
      </w:r>
      <w:r w:rsidR="00850AD9">
        <w:rPr>
          <w:rFonts w:ascii="Arial" w:eastAsia="Times New Roman" w:hAnsi="Arial" w:cs="Arial"/>
          <w:sz w:val="24"/>
          <w:szCs w:val="28"/>
          <w:lang w:eastAsia="hu-HU"/>
        </w:rPr>
        <w:t xml:space="preserve"> január 3</w:t>
      </w:r>
      <w:r w:rsidR="00111592">
        <w:rPr>
          <w:rFonts w:ascii="Arial" w:eastAsia="Times New Roman" w:hAnsi="Arial" w:cs="Arial"/>
          <w:sz w:val="24"/>
          <w:szCs w:val="28"/>
          <w:lang w:eastAsia="hu-HU"/>
        </w:rPr>
        <w:t>1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.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 napján kihirdettem.</w:t>
      </w:r>
    </w:p>
    <w:p w14:paraId="0145AACA" w14:textId="77777777" w:rsidR="00850AD9" w:rsidRPr="00BA0794" w:rsidRDefault="00850AD9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2D0D5A5" w14:textId="45761799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 xml:space="preserve">Dr. </w:t>
      </w:r>
      <w:r w:rsidR="00FD41C0">
        <w:rPr>
          <w:rFonts w:ascii="Arial" w:eastAsia="Times New Roman" w:hAnsi="Arial" w:cs="Arial"/>
          <w:sz w:val="24"/>
          <w:szCs w:val="28"/>
          <w:lang w:eastAsia="hu-HU"/>
        </w:rPr>
        <w:t>Taba Nikoletta</w:t>
      </w:r>
    </w:p>
    <w:p w14:paraId="1F33C696" w14:textId="13145F67" w:rsidR="005A7625" w:rsidRDefault="00521D97" w:rsidP="00877CA8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sectPr w:rsidR="005A7625" w:rsidSect="0036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B76"/>
    <w:multiLevelType w:val="hybridMultilevel"/>
    <w:tmpl w:val="22B60F46"/>
    <w:lvl w:ilvl="0" w:tplc="D3A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7"/>
    <w:rsid w:val="000263B8"/>
    <w:rsid w:val="00103E69"/>
    <w:rsid w:val="00111592"/>
    <w:rsid w:val="001978B7"/>
    <w:rsid w:val="00277B96"/>
    <w:rsid w:val="00361CAB"/>
    <w:rsid w:val="003C1F6B"/>
    <w:rsid w:val="00521D97"/>
    <w:rsid w:val="005951D7"/>
    <w:rsid w:val="005A7625"/>
    <w:rsid w:val="007B6CD3"/>
    <w:rsid w:val="00850AD9"/>
    <w:rsid w:val="00877CA8"/>
    <w:rsid w:val="0096276D"/>
    <w:rsid w:val="00AA5035"/>
    <w:rsid w:val="00B2718A"/>
    <w:rsid w:val="00B34250"/>
    <w:rsid w:val="00B65EF2"/>
    <w:rsid w:val="00C32C53"/>
    <w:rsid w:val="00C61168"/>
    <w:rsid w:val="00E45CC7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AD"/>
  <w15:chartTrackingRefBased/>
  <w15:docId w15:val="{8E155EE1-08ED-4C3B-A72D-281BA06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21D9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21D9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2021-11-30T07:01:00Z</cp:lastPrinted>
  <dcterms:created xsi:type="dcterms:W3CDTF">2022-01-31T06:50:00Z</dcterms:created>
  <dcterms:modified xsi:type="dcterms:W3CDTF">2022-01-31T06:50:00Z</dcterms:modified>
</cp:coreProperties>
</file>