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F3E" w14:textId="0C74C342" w:rsidR="00991EA8" w:rsidRDefault="00247CF4" w:rsidP="00991EA8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20/2021. (V.25.)</w:t>
      </w:r>
      <w:r w:rsidR="00991EA8">
        <w:rPr>
          <w:rFonts w:ascii="Arial" w:hAnsi="Arial" w:cs="Arial"/>
          <w:b/>
          <w:bCs/>
          <w:i/>
        </w:rPr>
        <w:t xml:space="preserve"> határozat melléklete</w:t>
      </w:r>
    </w:p>
    <w:p w14:paraId="2C01608A" w14:textId="77777777" w:rsidR="00991EA8" w:rsidRDefault="00991EA8" w:rsidP="006672B8">
      <w:pPr>
        <w:rPr>
          <w:rFonts w:ascii="Arial" w:hAnsi="Arial" w:cs="Arial"/>
          <w:b/>
          <w:bCs/>
          <w:i/>
        </w:rPr>
      </w:pPr>
    </w:p>
    <w:p w14:paraId="4BE16114" w14:textId="77777777" w:rsidR="00253CCA" w:rsidRPr="006672B8" w:rsidRDefault="00A2338E" w:rsidP="006672B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Német</w:t>
      </w:r>
      <w:r w:rsidR="00E853C7">
        <w:rPr>
          <w:rFonts w:ascii="Arial" w:hAnsi="Arial" w:cs="Arial"/>
          <w:b/>
          <w:bCs/>
          <w:i/>
        </w:rPr>
        <w:t xml:space="preserve"> </w:t>
      </w:r>
      <w:r w:rsidR="001318CD">
        <w:rPr>
          <w:rFonts w:ascii="Arial" w:hAnsi="Arial" w:cs="Arial"/>
          <w:b/>
          <w:bCs/>
          <w:i/>
        </w:rPr>
        <w:t>Nemzetiségi Önkormányzat</w:t>
      </w:r>
      <w:r w:rsidR="004007AE">
        <w:rPr>
          <w:rFonts w:ascii="Arial" w:hAnsi="Arial" w:cs="Arial"/>
          <w:b/>
          <w:bCs/>
          <w:i/>
        </w:rPr>
        <w:t xml:space="preserve"> Mór</w:t>
      </w:r>
    </w:p>
    <w:p w14:paraId="20561907" w14:textId="77777777" w:rsidR="00BB7BB6" w:rsidRPr="00BB7BB6" w:rsidRDefault="004007AE" w:rsidP="0091638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Mór</w:t>
      </w:r>
    </w:p>
    <w:p w14:paraId="220AF670" w14:textId="77777777" w:rsidR="00BB7BB6" w:rsidRPr="00BB7BB6" w:rsidRDefault="004007AE" w:rsidP="009163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Szent I. tér 6</w:t>
      </w:r>
      <w:r w:rsidR="00253CCA">
        <w:rPr>
          <w:rFonts w:ascii="Arial" w:hAnsi="Arial" w:cs="Arial"/>
          <w:bCs/>
        </w:rPr>
        <w:t>.</w:t>
      </w:r>
    </w:p>
    <w:p w14:paraId="199CF8D0" w14:textId="77777777" w:rsidR="00BB7BB6" w:rsidRPr="00BB7BB6" w:rsidRDefault="00B17B7E" w:rsidP="009163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80</w:t>
      </w:r>
      <w:r w:rsidR="004007AE">
        <w:rPr>
          <w:rFonts w:ascii="Arial" w:hAnsi="Arial" w:cs="Arial"/>
          <w:bCs/>
        </w:rPr>
        <w:t>60</w:t>
      </w:r>
    </w:p>
    <w:p w14:paraId="3601FA09" w14:textId="77777777" w:rsidR="002C18D6" w:rsidRPr="00BB7BB6" w:rsidRDefault="002C18D6" w:rsidP="00916387">
      <w:pPr>
        <w:rPr>
          <w:rFonts w:ascii="Bookman Old Style" w:hAnsi="Bookman Old Style" w:cs="Arial"/>
          <w:bCs/>
        </w:rPr>
      </w:pPr>
    </w:p>
    <w:p w14:paraId="04E20723" w14:textId="77777777" w:rsidR="002C18D6" w:rsidRPr="00B2421A" w:rsidRDefault="002C18D6" w:rsidP="00916387">
      <w:pPr>
        <w:rPr>
          <w:rFonts w:ascii="Bookman Old Style" w:hAnsi="Bookman Old Style" w:cs="Arial"/>
          <w:b/>
          <w:bCs/>
        </w:rPr>
      </w:pPr>
    </w:p>
    <w:p w14:paraId="6E387159" w14:textId="77777777" w:rsidR="002C18D6" w:rsidRPr="00B2421A" w:rsidRDefault="002C18D6" w:rsidP="00916387">
      <w:pPr>
        <w:rPr>
          <w:rFonts w:ascii="Bookman Old Style" w:hAnsi="Bookman Old Style" w:cs="Arial"/>
          <w:b/>
          <w:bCs/>
        </w:rPr>
      </w:pPr>
    </w:p>
    <w:p w14:paraId="066166E9" w14:textId="77777777" w:rsidR="002C18D6" w:rsidRPr="00B2421A" w:rsidRDefault="002C18D6" w:rsidP="00916387">
      <w:pPr>
        <w:rPr>
          <w:rFonts w:ascii="Bookman Old Style" w:hAnsi="Bookman Old Style" w:cs="Arial"/>
          <w:b/>
          <w:bCs/>
        </w:rPr>
      </w:pPr>
    </w:p>
    <w:p w14:paraId="61B5AA9F" w14:textId="77777777" w:rsidR="00916387" w:rsidRPr="00B2421A" w:rsidRDefault="00916387" w:rsidP="00916387">
      <w:pPr>
        <w:spacing w:after="120"/>
        <w:rPr>
          <w:rFonts w:ascii="Bookman Old Style" w:hAnsi="Bookman Old Style" w:cs="Arial"/>
          <w:b/>
          <w:bCs/>
        </w:rPr>
      </w:pPr>
    </w:p>
    <w:p w14:paraId="115F7586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  <w:b/>
          <w:u w:val="single"/>
        </w:rPr>
      </w:pPr>
    </w:p>
    <w:p w14:paraId="162C4E67" w14:textId="77777777" w:rsidR="00916387" w:rsidRPr="00B2421A" w:rsidRDefault="00916387" w:rsidP="00916387">
      <w:pPr>
        <w:spacing w:before="120" w:after="120" w:line="480" w:lineRule="auto"/>
        <w:rPr>
          <w:rFonts w:ascii="Bookman Old Style" w:hAnsi="Bookman Old Style" w:cs="Arial"/>
          <w:b/>
          <w:u w:val="single"/>
        </w:rPr>
      </w:pPr>
    </w:p>
    <w:p w14:paraId="3CC88C27" w14:textId="77777777" w:rsidR="00916387" w:rsidRPr="00B2421A" w:rsidRDefault="00916387" w:rsidP="00916387">
      <w:pPr>
        <w:spacing w:before="120" w:after="120" w:line="480" w:lineRule="auto"/>
        <w:rPr>
          <w:rFonts w:ascii="Bookman Old Style" w:hAnsi="Bookman Old Style" w:cs="Arial"/>
          <w:b/>
          <w:u w:val="single"/>
        </w:rPr>
      </w:pPr>
    </w:p>
    <w:p w14:paraId="74B579A0" w14:textId="77777777" w:rsidR="00916387" w:rsidRPr="00B2421A" w:rsidRDefault="00916387" w:rsidP="00916387">
      <w:pPr>
        <w:spacing w:line="48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B2421A">
        <w:rPr>
          <w:rFonts w:ascii="Bookman Old Style" w:hAnsi="Bookman Old Style" w:cs="Arial"/>
          <w:b/>
          <w:bCs/>
          <w:sz w:val="28"/>
          <w:szCs w:val="28"/>
        </w:rPr>
        <w:t>ÉVES ELLENŐRZÉSI JELENTÉS</w:t>
      </w:r>
    </w:p>
    <w:p w14:paraId="7107D793" w14:textId="77777777" w:rsidR="00916387" w:rsidRPr="00B2421A" w:rsidRDefault="000015FE" w:rsidP="00916387">
      <w:pPr>
        <w:spacing w:line="48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20</w:t>
      </w:r>
      <w:r w:rsidR="00E77994">
        <w:rPr>
          <w:rFonts w:ascii="Bookman Old Style" w:hAnsi="Bookman Old Style" w:cs="Arial"/>
          <w:b/>
          <w:bCs/>
          <w:sz w:val="28"/>
          <w:szCs w:val="28"/>
        </w:rPr>
        <w:t>20</w:t>
      </w:r>
      <w:r w:rsidR="00916387" w:rsidRPr="00B2421A">
        <w:rPr>
          <w:rFonts w:ascii="Bookman Old Style" w:hAnsi="Bookman Old Style" w:cs="Arial"/>
          <w:b/>
          <w:bCs/>
          <w:sz w:val="28"/>
          <w:szCs w:val="28"/>
        </w:rPr>
        <w:t xml:space="preserve">. </w:t>
      </w:r>
    </w:p>
    <w:p w14:paraId="54E60455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17411A4E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379AEB9E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4D4DD89A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3E7B5B5F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1D6D13AC" w14:textId="77777777" w:rsidR="00916387" w:rsidRPr="00B2421A" w:rsidRDefault="00916387" w:rsidP="00916387">
      <w:pPr>
        <w:spacing w:before="120" w:after="120"/>
        <w:rPr>
          <w:rFonts w:ascii="Bookman Old Style" w:hAnsi="Bookman Old Style" w:cs="Arial"/>
        </w:rPr>
      </w:pPr>
    </w:p>
    <w:p w14:paraId="7C985DE2" w14:textId="77777777" w:rsidR="004A2C57" w:rsidRDefault="004A2C57" w:rsidP="00916387">
      <w:pPr>
        <w:spacing w:before="120" w:after="120"/>
        <w:rPr>
          <w:rFonts w:ascii="Bookman Old Style" w:hAnsi="Bookman Old Style" w:cs="Arial"/>
        </w:rPr>
      </w:pPr>
    </w:p>
    <w:p w14:paraId="7C56B457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25515695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3C73580A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30053D2B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540863AD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60E4C182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42E07404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37CF847C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2F1A6A61" w14:textId="77777777" w:rsidR="005F6C4D" w:rsidRDefault="005F6C4D" w:rsidP="00916387">
      <w:pPr>
        <w:spacing w:before="120" w:after="120"/>
        <w:rPr>
          <w:rFonts w:ascii="Bookman Old Style" w:hAnsi="Bookman Old Style" w:cs="Arial"/>
        </w:rPr>
      </w:pPr>
    </w:p>
    <w:p w14:paraId="236FE335" w14:textId="77777777" w:rsidR="004A2C57" w:rsidRDefault="004A2C57" w:rsidP="00916387">
      <w:pPr>
        <w:spacing w:before="120" w:after="120"/>
        <w:rPr>
          <w:rFonts w:ascii="Bookman Old Style" w:hAnsi="Bookman Old Style" w:cs="Arial"/>
        </w:rPr>
      </w:pPr>
    </w:p>
    <w:p w14:paraId="166C252C" w14:textId="77777777" w:rsidR="00BB7BB6" w:rsidRPr="00B2421A" w:rsidRDefault="00BB7BB6" w:rsidP="00916387">
      <w:pPr>
        <w:spacing w:before="120" w:after="120"/>
        <w:rPr>
          <w:rFonts w:ascii="Bookman Old Style" w:hAnsi="Bookman Old Style" w:cs="Arial"/>
          <w:b/>
        </w:rPr>
      </w:pPr>
    </w:p>
    <w:p w14:paraId="4DDAD64F" w14:textId="77777777" w:rsidR="00253CCA" w:rsidRDefault="00253CCA" w:rsidP="00916387">
      <w:pPr>
        <w:jc w:val="both"/>
        <w:rPr>
          <w:rFonts w:ascii="Bookman Old Style" w:hAnsi="Bookman Old Style" w:cs="Arial"/>
          <w:b/>
        </w:rPr>
      </w:pPr>
    </w:p>
    <w:p w14:paraId="5F5C7FEC" w14:textId="77777777" w:rsidR="00916387" w:rsidRPr="00B2421A" w:rsidRDefault="00916387" w:rsidP="00916387">
      <w:pPr>
        <w:jc w:val="both"/>
        <w:rPr>
          <w:rFonts w:ascii="Bookman Old Style" w:hAnsi="Bookman Old Style" w:cs="Arial"/>
          <w:b/>
        </w:rPr>
      </w:pPr>
      <w:r w:rsidRPr="00B2421A">
        <w:rPr>
          <w:rFonts w:ascii="Bookman Old Style" w:hAnsi="Bookman Old Style" w:cs="Arial"/>
          <w:b/>
        </w:rPr>
        <w:lastRenderedPageBreak/>
        <w:t xml:space="preserve">Vezetői összefoglaló </w:t>
      </w:r>
    </w:p>
    <w:p w14:paraId="7AA457CC" w14:textId="77777777" w:rsidR="006672B8" w:rsidRDefault="006672B8" w:rsidP="00916387">
      <w:pPr>
        <w:jc w:val="both"/>
        <w:rPr>
          <w:rFonts w:ascii="Arial" w:hAnsi="Arial" w:cs="Arial"/>
          <w:b/>
        </w:rPr>
      </w:pPr>
    </w:p>
    <w:p w14:paraId="0DC92FDD" w14:textId="77777777" w:rsidR="006672B8" w:rsidRPr="00526CB8" w:rsidRDefault="006672B8" w:rsidP="00916387">
      <w:pPr>
        <w:jc w:val="both"/>
        <w:rPr>
          <w:rFonts w:ascii="Arial" w:hAnsi="Arial" w:cs="Arial"/>
          <w:b/>
        </w:rPr>
      </w:pPr>
    </w:p>
    <w:p w14:paraId="7A3DE369" w14:textId="77777777" w:rsidR="00916387" w:rsidRPr="00526CB8" w:rsidRDefault="00A504CF" w:rsidP="00916387">
      <w:pPr>
        <w:jc w:val="both"/>
        <w:rPr>
          <w:rFonts w:ascii="Arial" w:hAnsi="Arial" w:cs="Arial"/>
        </w:rPr>
      </w:pPr>
      <w:r w:rsidRPr="00526CB8">
        <w:rPr>
          <w:rFonts w:ascii="Arial" w:hAnsi="Arial" w:cs="Arial"/>
        </w:rPr>
        <w:t>Az államháztartásról szóló 2011. évi CXCV. törvénynek</w:t>
      </w:r>
      <w:r w:rsidR="008B0674">
        <w:rPr>
          <w:rFonts w:ascii="Arial" w:hAnsi="Arial" w:cs="Arial"/>
        </w:rPr>
        <w:t xml:space="preserve"> (továbbikban: Áht.)</w:t>
      </w:r>
      <w:r w:rsidRPr="00526CB8">
        <w:rPr>
          <w:rFonts w:ascii="Arial" w:hAnsi="Arial" w:cs="Arial"/>
        </w:rPr>
        <w:t>, valamint a költségvetési szervek belső kontrollrendszeréről és belső ellenőrzéséről szóló 370/2011.(XII.31.) Korm. rendelet</w:t>
      </w:r>
      <w:r w:rsidR="00541078">
        <w:rPr>
          <w:rFonts w:ascii="Arial" w:hAnsi="Arial" w:cs="Arial"/>
        </w:rPr>
        <w:t>nek</w:t>
      </w:r>
      <w:r w:rsidRPr="00526CB8">
        <w:rPr>
          <w:rFonts w:ascii="Arial" w:hAnsi="Arial" w:cs="Arial"/>
        </w:rPr>
        <w:t xml:space="preserve"> megfelelően a költségvetési szervek kötelesek belső ellenőrzési rendszert működtetni abból a célból, hogy a szervezet vezetője számára bizonyosságot nyújtsanak az általa kiépített és működtetett belső kontrollrendszerek megfelelőségét illetően.</w:t>
      </w:r>
    </w:p>
    <w:p w14:paraId="334A20D7" w14:textId="77777777" w:rsidR="00526CB8" w:rsidRPr="00526CB8" w:rsidRDefault="00526CB8" w:rsidP="00916387">
      <w:pPr>
        <w:jc w:val="both"/>
        <w:rPr>
          <w:rFonts w:ascii="Arial" w:hAnsi="Arial" w:cs="Arial"/>
        </w:rPr>
      </w:pPr>
    </w:p>
    <w:p w14:paraId="3DDAAEF3" w14:textId="77777777" w:rsidR="00A504CF" w:rsidRDefault="00860EE8" w:rsidP="00916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2338E">
        <w:rPr>
          <w:rFonts w:ascii="Arial" w:hAnsi="Arial" w:cs="Arial"/>
        </w:rPr>
        <w:t>Német</w:t>
      </w:r>
      <w:r w:rsidR="00E853C7">
        <w:rPr>
          <w:rFonts w:ascii="Arial" w:hAnsi="Arial" w:cs="Arial"/>
        </w:rPr>
        <w:t xml:space="preserve"> </w:t>
      </w:r>
      <w:r w:rsidR="001318CD" w:rsidRPr="001318CD">
        <w:rPr>
          <w:rFonts w:ascii="Arial" w:hAnsi="Arial" w:cs="Arial"/>
        </w:rPr>
        <w:t xml:space="preserve">Nemzetiségi </w:t>
      </w:r>
      <w:proofErr w:type="gramStart"/>
      <w:r w:rsidR="001318CD" w:rsidRPr="001318CD">
        <w:rPr>
          <w:rFonts w:ascii="Arial" w:hAnsi="Arial" w:cs="Arial"/>
        </w:rPr>
        <w:t>Önkormányzat</w:t>
      </w:r>
      <w:r w:rsidR="00131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Mór</w:t>
      </w:r>
      <w:proofErr w:type="gramEnd"/>
      <w:r>
        <w:rPr>
          <w:rFonts w:ascii="Arial" w:hAnsi="Arial" w:cs="Arial"/>
        </w:rPr>
        <w:t xml:space="preserve"> </w:t>
      </w:r>
      <w:r w:rsidR="00A504CF" w:rsidRPr="00526CB8">
        <w:rPr>
          <w:rFonts w:ascii="Arial" w:hAnsi="Arial" w:cs="Arial"/>
        </w:rPr>
        <w:t xml:space="preserve">belső ellenőrzése a vonatkozó jogszabályi előírások (Áht., Bkr., </w:t>
      </w:r>
      <w:r w:rsidR="00C374B8">
        <w:rPr>
          <w:rFonts w:ascii="Arial" w:hAnsi="Arial" w:cs="Arial"/>
        </w:rPr>
        <w:t>M</w:t>
      </w:r>
      <w:r w:rsidR="00A504CF" w:rsidRPr="00526CB8">
        <w:rPr>
          <w:rFonts w:ascii="Arial" w:hAnsi="Arial" w:cs="Arial"/>
        </w:rPr>
        <w:t>Ötv,</w:t>
      </w:r>
      <w:r w:rsidR="008C24D9">
        <w:rPr>
          <w:rFonts w:ascii="Arial" w:hAnsi="Arial" w:cs="Arial"/>
        </w:rPr>
        <w:t xml:space="preserve"> Nek. </w:t>
      </w:r>
      <w:proofErr w:type="gramStart"/>
      <w:r w:rsidR="008C24D9">
        <w:rPr>
          <w:rFonts w:ascii="Arial" w:hAnsi="Arial" w:cs="Arial"/>
        </w:rPr>
        <w:t>tv.</w:t>
      </w:r>
      <w:r w:rsidR="00B960AC">
        <w:rPr>
          <w:rFonts w:ascii="Arial" w:hAnsi="Arial" w:cs="Arial"/>
        </w:rPr>
        <w:t>.</w:t>
      </w:r>
      <w:proofErr w:type="gramEnd"/>
      <w:r w:rsidR="00A504CF" w:rsidRPr="00526CB8">
        <w:rPr>
          <w:rFonts w:ascii="Arial" w:hAnsi="Arial" w:cs="Arial"/>
        </w:rPr>
        <w:t xml:space="preserve">) SzMSz, </w:t>
      </w:r>
      <w:r w:rsidR="001318CD">
        <w:rPr>
          <w:rFonts w:ascii="Arial" w:hAnsi="Arial" w:cs="Arial"/>
        </w:rPr>
        <w:t xml:space="preserve">együttműködési megállapodás, </w:t>
      </w:r>
      <w:r w:rsidR="00A504CF" w:rsidRPr="00526CB8">
        <w:rPr>
          <w:rFonts w:ascii="Arial" w:hAnsi="Arial" w:cs="Arial"/>
        </w:rPr>
        <w:t>a belső ellenőrzés szakmai gyakorlatának nemzet</w:t>
      </w:r>
      <w:r w:rsidR="00B960AC">
        <w:rPr>
          <w:rFonts w:ascii="Arial" w:hAnsi="Arial" w:cs="Arial"/>
        </w:rPr>
        <w:t xml:space="preserve">közi normái (NORMÁK), illetve az önkormányzat elnöke </w:t>
      </w:r>
      <w:r w:rsidR="00A504CF" w:rsidRPr="00526CB8">
        <w:rPr>
          <w:rFonts w:ascii="Arial" w:hAnsi="Arial" w:cs="Arial"/>
        </w:rPr>
        <w:t xml:space="preserve">által adott </w:t>
      </w:r>
      <w:r w:rsidR="00E77994">
        <w:rPr>
          <w:rFonts w:ascii="Arial" w:hAnsi="Arial" w:cs="Arial"/>
        </w:rPr>
        <w:t>javaslatok</w:t>
      </w:r>
      <w:r w:rsidR="00A504CF" w:rsidRPr="00526CB8">
        <w:rPr>
          <w:rFonts w:ascii="Arial" w:hAnsi="Arial" w:cs="Arial"/>
        </w:rPr>
        <w:t xml:space="preserve"> alapján:</w:t>
      </w:r>
    </w:p>
    <w:p w14:paraId="097667C3" w14:textId="77777777" w:rsidR="00526CB8" w:rsidRPr="00526CB8" w:rsidRDefault="00526CB8" w:rsidP="00916387">
      <w:pPr>
        <w:jc w:val="both"/>
        <w:rPr>
          <w:rFonts w:ascii="Arial" w:hAnsi="Arial" w:cs="Arial"/>
        </w:rPr>
      </w:pPr>
    </w:p>
    <w:p w14:paraId="1E776242" w14:textId="77777777" w:rsidR="00A504CF" w:rsidRDefault="00FA23EE" w:rsidP="00FC394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ellenőrzést végzett</w:t>
      </w:r>
      <w:r w:rsidR="00B960AC">
        <w:rPr>
          <w:rFonts w:ascii="Arial" w:hAnsi="Arial" w:cs="Arial"/>
        </w:rPr>
        <w:t xml:space="preserve"> az önkormányzatnál</w:t>
      </w:r>
      <w:r w:rsidR="00944240">
        <w:rPr>
          <w:rFonts w:ascii="Arial" w:hAnsi="Arial" w:cs="Arial"/>
        </w:rPr>
        <w:t xml:space="preserve">, </w:t>
      </w:r>
      <w:r w:rsidR="001D5AD0">
        <w:rPr>
          <w:rFonts w:ascii="Arial" w:hAnsi="Arial" w:cs="Arial"/>
        </w:rPr>
        <w:t xml:space="preserve">a </w:t>
      </w:r>
      <w:r w:rsidR="00944240">
        <w:rPr>
          <w:rFonts w:ascii="Arial" w:hAnsi="Arial" w:cs="Arial"/>
        </w:rPr>
        <w:t>polgármesteri hivatal</w:t>
      </w:r>
      <w:r w:rsidR="001D5AD0">
        <w:rPr>
          <w:rFonts w:ascii="Arial" w:hAnsi="Arial" w:cs="Arial"/>
        </w:rPr>
        <w:t>nál</w:t>
      </w:r>
      <w:r w:rsidR="00526CB8">
        <w:rPr>
          <w:rFonts w:ascii="Arial" w:hAnsi="Arial" w:cs="Arial"/>
        </w:rPr>
        <w:t xml:space="preserve"> az önkormányzat működésével kapcsolatos feladatokra vonatkozóan;</w:t>
      </w:r>
    </w:p>
    <w:p w14:paraId="65013D37" w14:textId="77777777" w:rsidR="00526CB8" w:rsidRDefault="004C029B" w:rsidP="00FC394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ellátta</w:t>
      </w:r>
      <w:r w:rsidR="00526CB8">
        <w:rPr>
          <w:rFonts w:ascii="Arial" w:hAnsi="Arial" w:cs="Arial"/>
        </w:rPr>
        <w:t xml:space="preserve"> a költségvetési szervek belső kontrollrendszeréről és a belső </w:t>
      </w:r>
      <w:proofErr w:type="gramStart"/>
      <w:r w:rsidR="00526CB8">
        <w:rPr>
          <w:rFonts w:ascii="Arial" w:hAnsi="Arial" w:cs="Arial"/>
        </w:rPr>
        <w:t>ellenőrzésről  (</w:t>
      </w:r>
      <w:proofErr w:type="gramEnd"/>
      <w:r w:rsidR="00526CB8">
        <w:rPr>
          <w:rFonts w:ascii="Arial" w:hAnsi="Arial" w:cs="Arial"/>
        </w:rPr>
        <w:t>továbbiakban Bkr.)</w:t>
      </w:r>
      <w:r w:rsidR="008B0674">
        <w:rPr>
          <w:rFonts w:ascii="Arial" w:hAnsi="Arial" w:cs="Arial"/>
        </w:rPr>
        <w:t xml:space="preserve"> szóló 370/2011. (XII.31.) Korm. rendelet - </w:t>
      </w:r>
      <w:r w:rsidR="00526CB8">
        <w:rPr>
          <w:rFonts w:ascii="Arial" w:hAnsi="Arial" w:cs="Arial"/>
        </w:rPr>
        <w:t xml:space="preserve"> </w:t>
      </w:r>
      <w:r w:rsidR="00541078">
        <w:rPr>
          <w:rFonts w:ascii="Arial" w:hAnsi="Arial" w:cs="Arial"/>
        </w:rPr>
        <w:t xml:space="preserve">- </w:t>
      </w:r>
      <w:r w:rsidR="00526CB8">
        <w:rPr>
          <w:rFonts w:ascii="Arial" w:hAnsi="Arial" w:cs="Arial"/>
        </w:rPr>
        <w:t xml:space="preserve">által a belső ellenőrzési vezetőre kirótt feladatokat a </w:t>
      </w:r>
      <w:r w:rsidR="00656673">
        <w:rPr>
          <w:rFonts w:ascii="Arial" w:hAnsi="Arial" w:cs="Arial"/>
        </w:rPr>
        <w:t>22. § (1) – (2) szerint.</w:t>
      </w:r>
    </w:p>
    <w:p w14:paraId="7B964C81" w14:textId="77777777" w:rsidR="00526CB8" w:rsidRDefault="00526CB8" w:rsidP="00526CB8">
      <w:pPr>
        <w:jc w:val="both"/>
        <w:rPr>
          <w:rFonts w:ascii="Arial" w:hAnsi="Arial" w:cs="Arial"/>
        </w:rPr>
      </w:pPr>
    </w:p>
    <w:p w14:paraId="5001F5C9" w14:textId="77777777" w:rsidR="00860EE8" w:rsidRPr="0092175F" w:rsidRDefault="00860EE8" w:rsidP="00860EE8">
      <w:pPr>
        <w:jc w:val="both"/>
        <w:rPr>
          <w:rFonts w:ascii="Arial" w:hAnsi="Arial" w:cs="Arial"/>
        </w:rPr>
      </w:pPr>
      <w:r w:rsidRPr="0092175F">
        <w:rPr>
          <w:rFonts w:ascii="Arial" w:hAnsi="Arial" w:cs="Arial"/>
        </w:rPr>
        <w:t>Ennek keretén belül a Móri Polgármesteri Hivatal belső ellenőrzési kézi</w:t>
      </w:r>
      <w:r w:rsidR="00E853C7">
        <w:rPr>
          <w:rFonts w:ascii="Arial" w:hAnsi="Arial" w:cs="Arial"/>
        </w:rPr>
        <w:t>könyve kiegészítésre került 2014.01.01</w:t>
      </w:r>
      <w:r w:rsidRPr="0092175F">
        <w:rPr>
          <w:rFonts w:ascii="Arial" w:hAnsi="Arial" w:cs="Arial"/>
        </w:rPr>
        <w:t xml:space="preserve">. napjával, a 2.2.2. A költségvetési szerv belső ellenőrzési tevékenységének tartalma más szerveknél </w:t>
      </w:r>
      <w:proofErr w:type="gramStart"/>
      <w:r w:rsidRPr="0092175F">
        <w:rPr>
          <w:rFonts w:ascii="Arial" w:hAnsi="Arial" w:cs="Arial"/>
        </w:rPr>
        <w:t xml:space="preserve">bekezdése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</w:t>
      </w:r>
      <w:r w:rsidRPr="0092175F">
        <w:rPr>
          <w:rFonts w:ascii="Arial" w:hAnsi="Arial" w:cs="Arial"/>
        </w:rPr>
        <w:t xml:space="preserve">az </w:t>
      </w:r>
      <w:r w:rsidRPr="0092175F">
        <w:rPr>
          <w:rFonts w:ascii="Arial" w:hAnsi="Arial" w:cs="Arial"/>
          <w:b/>
          <w:i/>
        </w:rPr>
        <w:t>„érintett szervek felsorolása”</w:t>
      </w:r>
      <w:r w:rsidRPr="0092175F">
        <w:rPr>
          <w:rFonts w:ascii="Arial" w:hAnsi="Arial" w:cs="Arial"/>
        </w:rPr>
        <w:t xml:space="preserve"> -</w:t>
      </w:r>
      <w:r w:rsidRPr="0092175F">
        <w:rPr>
          <w:rFonts w:ascii="Arial" w:hAnsi="Arial" w:cs="Arial"/>
          <w:b/>
          <w:i/>
        </w:rPr>
        <w:t xml:space="preserve"> </w:t>
      </w:r>
      <w:r w:rsidRPr="0092175F">
        <w:rPr>
          <w:rFonts w:ascii="Arial" w:hAnsi="Arial" w:cs="Arial"/>
        </w:rPr>
        <w:t xml:space="preserve"> a </w:t>
      </w:r>
      <w:r w:rsidR="00A2338E">
        <w:rPr>
          <w:rFonts w:ascii="Arial" w:hAnsi="Arial" w:cs="Arial"/>
        </w:rPr>
        <w:t>Német</w:t>
      </w:r>
      <w:r w:rsidR="00E85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Nemzetiségi Önkormányzat Mórral.</w:t>
      </w:r>
      <w:r w:rsidRPr="0092175F">
        <w:rPr>
          <w:rFonts w:ascii="Arial" w:hAnsi="Arial" w:cs="Arial"/>
        </w:rPr>
        <w:t xml:space="preserve"> A belső ellenőrzés kockázatel</w:t>
      </w:r>
      <w:r w:rsidR="000015FE">
        <w:rPr>
          <w:rFonts w:ascii="Arial" w:hAnsi="Arial" w:cs="Arial"/>
        </w:rPr>
        <w:t>emezéssel alátámasztottan a 20</w:t>
      </w:r>
      <w:r w:rsidR="00E32E0D">
        <w:rPr>
          <w:rFonts w:ascii="Arial" w:hAnsi="Arial" w:cs="Arial"/>
        </w:rPr>
        <w:t>20</w:t>
      </w:r>
      <w:r w:rsidRPr="0092175F">
        <w:rPr>
          <w:rFonts w:ascii="Arial" w:hAnsi="Arial" w:cs="Arial"/>
        </w:rPr>
        <w:t xml:space="preserve">. évi belső ellenőrzési terv kidolgozását elvégezte, továbbá kialakította és működtette a Bkr. 50. §-ban meghatározott nyilvántartást. </w:t>
      </w:r>
    </w:p>
    <w:p w14:paraId="763F02D9" w14:textId="77777777" w:rsidR="007A5B7C" w:rsidRDefault="007A5B7C" w:rsidP="00526CB8">
      <w:pPr>
        <w:jc w:val="both"/>
        <w:rPr>
          <w:rFonts w:ascii="Arial" w:hAnsi="Arial" w:cs="Arial"/>
        </w:rPr>
      </w:pPr>
    </w:p>
    <w:p w14:paraId="6A5D2F13" w14:textId="77777777" w:rsidR="00860EE8" w:rsidRDefault="00860EE8" w:rsidP="00860EE8">
      <w:pPr>
        <w:jc w:val="both"/>
        <w:rPr>
          <w:rFonts w:ascii="Arial" w:hAnsi="Arial" w:cs="Arial"/>
        </w:rPr>
      </w:pPr>
      <w:r w:rsidRPr="0092175F">
        <w:rPr>
          <w:rFonts w:ascii="Arial" w:hAnsi="Arial" w:cs="Arial"/>
        </w:rPr>
        <w:t xml:space="preserve">A </w:t>
      </w:r>
      <w:r w:rsidR="00A2338E">
        <w:rPr>
          <w:rFonts w:ascii="Arial" w:hAnsi="Arial" w:cs="Arial"/>
        </w:rPr>
        <w:t>Német</w:t>
      </w:r>
      <w:r>
        <w:rPr>
          <w:rFonts w:ascii="Arial" w:hAnsi="Arial" w:cs="Arial"/>
        </w:rPr>
        <w:t xml:space="preserve"> Nemzetiségi Önkormányzat Mór Képviselő-testülete a </w:t>
      </w:r>
      <w:r w:rsidR="00DF05CD">
        <w:rPr>
          <w:rFonts w:ascii="Arial" w:hAnsi="Arial" w:cs="Arial"/>
        </w:rPr>
        <w:t>1</w:t>
      </w:r>
      <w:r w:rsidR="00522C46">
        <w:rPr>
          <w:rFonts w:ascii="Arial" w:hAnsi="Arial" w:cs="Arial"/>
        </w:rPr>
        <w:t>68</w:t>
      </w:r>
      <w:r w:rsidR="00A2338E">
        <w:rPr>
          <w:rFonts w:ascii="Arial" w:hAnsi="Arial" w:cs="Arial"/>
        </w:rPr>
        <w:t>/201</w:t>
      </w:r>
      <w:r w:rsidR="00522C46">
        <w:rPr>
          <w:rFonts w:ascii="Arial" w:hAnsi="Arial" w:cs="Arial"/>
        </w:rPr>
        <w:t>9</w:t>
      </w:r>
      <w:r w:rsidR="00A2338E">
        <w:rPr>
          <w:rFonts w:ascii="Arial" w:hAnsi="Arial" w:cs="Arial"/>
        </w:rPr>
        <w:t>.(X</w:t>
      </w:r>
      <w:r w:rsidR="00522C46">
        <w:rPr>
          <w:rFonts w:ascii="Arial" w:hAnsi="Arial" w:cs="Arial"/>
        </w:rPr>
        <w:t>I.26</w:t>
      </w:r>
      <w:r w:rsidR="000015FE">
        <w:rPr>
          <w:rFonts w:ascii="Arial" w:hAnsi="Arial" w:cs="Arial"/>
        </w:rPr>
        <w:t>.</w:t>
      </w:r>
      <w:r w:rsidR="00210B54">
        <w:rPr>
          <w:rFonts w:ascii="Arial" w:hAnsi="Arial" w:cs="Arial"/>
        </w:rPr>
        <w:t>)</w:t>
      </w:r>
      <w:r w:rsidRPr="0092175F">
        <w:rPr>
          <w:rFonts w:ascii="Arial" w:hAnsi="Arial" w:cs="Arial"/>
        </w:rPr>
        <w:t xml:space="preserve"> határozatával elfogadta a </w:t>
      </w:r>
      <w:r w:rsidR="00A2338E">
        <w:rPr>
          <w:rFonts w:ascii="Arial" w:hAnsi="Arial" w:cs="Arial"/>
        </w:rPr>
        <w:t>Német</w:t>
      </w:r>
      <w:r>
        <w:rPr>
          <w:rFonts w:ascii="Arial" w:hAnsi="Arial" w:cs="Arial"/>
        </w:rPr>
        <w:t xml:space="preserve"> Ne</w:t>
      </w:r>
      <w:r w:rsidR="000015FE">
        <w:rPr>
          <w:rFonts w:ascii="Arial" w:hAnsi="Arial" w:cs="Arial"/>
        </w:rPr>
        <w:t xml:space="preserve">mzetiségi Önkormányzat </w:t>
      </w:r>
      <w:proofErr w:type="gramStart"/>
      <w:r w:rsidR="000015FE">
        <w:rPr>
          <w:rFonts w:ascii="Arial" w:hAnsi="Arial" w:cs="Arial"/>
        </w:rPr>
        <w:t>Mór  20</w:t>
      </w:r>
      <w:r w:rsidR="00E32E0D">
        <w:rPr>
          <w:rFonts w:ascii="Arial" w:hAnsi="Arial" w:cs="Arial"/>
        </w:rPr>
        <w:t>20</w:t>
      </w:r>
      <w:r w:rsidRPr="0092175F">
        <w:rPr>
          <w:rFonts w:ascii="Arial" w:hAnsi="Arial" w:cs="Arial"/>
        </w:rPr>
        <w:t>.</w:t>
      </w:r>
      <w:proofErr w:type="gramEnd"/>
      <w:r w:rsidRPr="0092175F">
        <w:rPr>
          <w:rFonts w:ascii="Arial" w:hAnsi="Arial" w:cs="Arial"/>
        </w:rPr>
        <w:t xml:space="preserve"> évi  </w:t>
      </w:r>
      <w:r w:rsidR="008B0674">
        <w:rPr>
          <w:rFonts w:ascii="Arial" w:hAnsi="Arial" w:cs="Arial"/>
        </w:rPr>
        <w:t xml:space="preserve">éves </w:t>
      </w:r>
      <w:r w:rsidRPr="0092175F">
        <w:rPr>
          <w:rFonts w:ascii="Arial" w:hAnsi="Arial" w:cs="Arial"/>
        </w:rPr>
        <w:t>belső ellenőrzési tervét.</w:t>
      </w:r>
    </w:p>
    <w:p w14:paraId="13E3C9A4" w14:textId="77777777" w:rsidR="007A5B7C" w:rsidRDefault="007A5B7C" w:rsidP="00526CB8">
      <w:pPr>
        <w:jc w:val="both"/>
        <w:rPr>
          <w:rFonts w:ascii="Arial" w:hAnsi="Arial" w:cs="Arial"/>
        </w:rPr>
      </w:pPr>
    </w:p>
    <w:p w14:paraId="24BB54F9" w14:textId="77777777" w:rsidR="00D624E3" w:rsidRPr="00D624E3" w:rsidRDefault="00614B2D" w:rsidP="00E14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Írásba</w:t>
      </w:r>
      <w:r w:rsidR="00656673">
        <w:rPr>
          <w:rFonts w:ascii="Arial" w:hAnsi="Arial" w:cs="Arial"/>
        </w:rPr>
        <w:t xml:space="preserve"> rögzítésre került a </w:t>
      </w:r>
      <w:r w:rsidR="007A5B7C">
        <w:rPr>
          <w:rFonts w:ascii="Arial" w:hAnsi="Arial" w:cs="Arial"/>
        </w:rPr>
        <w:t>lefolytatott</w:t>
      </w:r>
      <w:r w:rsidR="00B17B7E">
        <w:rPr>
          <w:rFonts w:ascii="Arial" w:hAnsi="Arial" w:cs="Arial"/>
        </w:rPr>
        <w:t xml:space="preserve"> vizsgálat</w:t>
      </w:r>
      <w:r w:rsidR="009B51BA">
        <w:rPr>
          <w:rFonts w:ascii="Arial" w:hAnsi="Arial" w:cs="Arial"/>
        </w:rPr>
        <w:t>hoz</w:t>
      </w:r>
      <w:r w:rsidR="00656673">
        <w:rPr>
          <w:rFonts w:ascii="Arial" w:hAnsi="Arial" w:cs="Arial"/>
        </w:rPr>
        <w:t xml:space="preserve"> </w:t>
      </w:r>
      <w:r w:rsidR="00B17B7E">
        <w:rPr>
          <w:rFonts w:ascii="Arial" w:hAnsi="Arial" w:cs="Arial"/>
        </w:rPr>
        <w:t>kapcsolódó ellenőrzési program</w:t>
      </w:r>
      <w:r w:rsidR="009B51BA">
        <w:rPr>
          <w:rFonts w:ascii="Arial" w:hAnsi="Arial" w:cs="Arial"/>
        </w:rPr>
        <w:t>,</w:t>
      </w:r>
      <w:r w:rsidR="00656673">
        <w:rPr>
          <w:rFonts w:ascii="Arial" w:hAnsi="Arial" w:cs="Arial"/>
        </w:rPr>
        <w:t xml:space="preserve"> illetve</w:t>
      </w:r>
      <w:r w:rsidR="009B51BA">
        <w:rPr>
          <w:rFonts w:ascii="Arial" w:hAnsi="Arial" w:cs="Arial"/>
        </w:rPr>
        <w:t xml:space="preserve"> </w:t>
      </w:r>
      <w:r w:rsidR="00656673">
        <w:rPr>
          <w:rFonts w:ascii="Arial" w:hAnsi="Arial" w:cs="Arial"/>
        </w:rPr>
        <w:t>a megállapításokat, ja</w:t>
      </w:r>
      <w:r w:rsidR="00B17B7E">
        <w:rPr>
          <w:rFonts w:ascii="Arial" w:hAnsi="Arial" w:cs="Arial"/>
        </w:rPr>
        <w:t>vaslatokat tartalmazó jelentés</w:t>
      </w:r>
      <w:r w:rsidR="00656673">
        <w:rPr>
          <w:rFonts w:ascii="Arial" w:hAnsi="Arial" w:cs="Arial"/>
        </w:rPr>
        <w:t>.</w:t>
      </w:r>
      <w:r w:rsidR="009B5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érintettek</w:t>
      </w:r>
      <w:r w:rsidR="00656673">
        <w:rPr>
          <w:rFonts w:ascii="Arial" w:hAnsi="Arial" w:cs="Arial"/>
        </w:rPr>
        <w:t xml:space="preserve"> tájékoztatása</w:t>
      </w:r>
      <w:r>
        <w:rPr>
          <w:rFonts w:ascii="Arial" w:hAnsi="Arial" w:cs="Arial"/>
        </w:rPr>
        <w:t xml:space="preserve"> a vizsgálat tapasztalatá</w:t>
      </w:r>
      <w:r w:rsidR="007A5B7C">
        <w:rPr>
          <w:rFonts w:ascii="Arial" w:hAnsi="Arial" w:cs="Arial"/>
        </w:rPr>
        <w:t>ról</w:t>
      </w:r>
      <w:r w:rsidR="00656673">
        <w:rPr>
          <w:rFonts w:ascii="Arial" w:hAnsi="Arial" w:cs="Arial"/>
        </w:rPr>
        <w:t xml:space="preserve"> minden esetben megtörtént</w:t>
      </w:r>
      <w:r w:rsidR="007A5B7C">
        <w:rPr>
          <w:rFonts w:ascii="Arial" w:hAnsi="Arial" w:cs="Arial"/>
        </w:rPr>
        <w:t xml:space="preserve">. </w:t>
      </w:r>
    </w:p>
    <w:p w14:paraId="41B7975E" w14:textId="77777777" w:rsidR="00E1461B" w:rsidRDefault="00B17B7E" w:rsidP="00E14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belső ellenőrzés a vizsgálat</w:t>
      </w:r>
      <w:r w:rsidR="00E1461B">
        <w:rPr>
          <w:rFonts w:ascii="Arial" w:hAnsi="Arial" w:cs="Arial"/>
        </w:rPr>
        <w:t>ról megfelelő tartalmú nyilvántartás</w:t>
      </w:r>
      <w:r>
        <w:rPr>
          <w:rFonts w:ascii="Arial" w:hAnsi="Arial" w:cs="Arial"/>
        </w:rPr>
        <w:t>t vezet, illetve az ellenőrzés</w:t>
      </w:r>
      <w:r w:rsidR="00E1461B">
        <w:rPr>
          <w:rFonts w:ascii="Arial" w:hAnsi="Arial" w:cs="Arial"/>
        </w:rPr>
        <w:t xml:space="preserve"> dokumentumait 10 évig megőrzi.</w:t>
      </w:r>
    </w:p>
    <w:p w14:paraId="3B36D2DB" w14:textId="77777777" w:rsidR="00D624E3" w:rsidRDefault="00D624E3" w:rsidP="00E1461B">
      <w:pPr>
        <w:jc w:val="both"/>
        <w:rPr>
          <w:rFonts w:ascii="Arial" w:hAnsi="Arial" w:cs="Arial"/>
        </w:rPr>
      </w:pPr>
    </w:p>
    <w:p w14:paraId="4143F001" w14:textId="77777777" w:rsidR="00916387" w:rsidRDefault="000015FE" w:rsidP="00916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E32E0D">
        <w:rPr>
          <w:rFonts w:ascii="Arial" w:hAnsi="Arial" w:cs="Arial"/>
        </w:rPr>
        <w:t>20</w:t>
      </w:r>
      <w:r w:rsidR="00E1461B">
        <w:rPr>
          <w:rFonts w:ascii="Arial" w:hAnsi="Arial" w:cs="Arial"/>
        </w:rPr>
        <w:t xml:space="preserve">. évben </w:t>
      </w:r>
      <w:r w:rsidR="0001498F">
        <w:rPr>
          <w:rFonts w:ascii="Arial" w:hAnsi="Arial" w:cs="Arial"/>
        </w:rPr>
        <w:t>lefolytatott ellenőrzés</w:t>
      </w:r>
      <w:r w:rsidR="00656673">
        <w:rPr>
          <w:rFonts w:ascii="Arial" w:hAnsi="Arial" w:cs="Arial"/>
        </w:rPr>
        <w:t xml:space="preserve"> éves összefoglaló jelentése a (Bkr.)  48. §</w:t>
      </w:r>
      <w:r w:rsidR="0001498F">
        <w:rPr>
          <w:rFonts w:ascii="Arial" w:hAnsi="Arial" w:cs="Arial"/>
        </w:rPr>
        <w:t xml:space="preserve">, illetve a </w:t>
      </w:r>
      <w:r w:rsidR="00AA5AD2">
        <w:rPr>
          <w:rFonts w:ascii="Arial" w:hAnsi="Arial" w:cs="Arial"/>
        </w:rPr>
        <w:t>Pénzügyminisztérium</w:t>
      </w:r>
      <w:r w:rsidR="0001498F">
        <w:rPr>
          <w:rFonts w:ascii="Arial" w:hAnsi="Arial" w:cs="Arial"/>
        </w:rPr>
        <w:t xml:space="preserve"> által közzétett iránymutatás alapján készült el.</w:t>
      </w:r>
    </w:p>
    <w:p w14:paraId="665B2509" w14:textId="77777777" w:rsidR="00AA5AD2" w:rsidRPr="00D624E3" w:rsidRDefault="00AA5AD2" w:rsidP="00916387">
      <w:pPr>
        <w:jc w:val="both"/>
        <w:rPr>
          <w:rFonts w:ascii="Arial" w:hAnsi="Arial" w:cs="Arial"/>
        </w:rPr>
      </w:pPr>
    </w:p>
    <w:p w14:paraId="51A8BFD5" w14:textId="77777777" w:rsidR="00916387" w:rsidRDefault="00916387" w:rsidP="00916387">
      <w:pPr>
        <w:jc w:val="both"/>
        <w:rPr>
          <w:rFonts w:ascii="Bookman Old Style" w:hAnsi="Bookman Old Style" w:cs="Arial"/>
          <w:b/>
        </w:rPr>
      </w:pPr>
    </w:p>
    <w:p w14:paraId="51D427FE" w14:textId="77777777" w:rsidR="00A51817" w:rsidRDefault="00A51817" w:rsidP="00916387">
      <w:pPr>
        <w:jc w:val="both"/>
        <w:rPr>
          <w:rFonts w:ascii="Bookman Old Style" w:hAnsi="Bookman Old Style" w:cs="Arial"/>
          <w:b/>
        </w:rPr>
      </w:pPr>
    </w:p>
    <w:p w14:paraId="530F1E67" w14:textId="77777777" w:rsidR="003B5992" w:rsidRDefault="003B5992" w:rsidP="00916387">
      <w:pPr>
        <w:jc w:val="both"/>
        <w:rPr>
          <w:rFonts w:ascii="Bookman Old Style" w:hAnsi="Bookman Old Style" w:cs="Arial"/>
          <w:b/>
        </w:rPr>
      </w:pPr>
    </w:p>
    <w:p w14:paraId="060E3B2D" w14:textId="77777777" w:rsidR="003B5992" w:rsidRDefault="003B5992" w:rsidP="00916387">
      <w:pPr>
        <w:jc w:val="both"/>
        <w:rPr>
          <w:rFonts w:ascii="Bookman Old Style" w:hAnsi="Bookman Old Style" w:cs="Arial"/>
          <w:b/>
        </w:rPr>
      </w:pPr>
    </w:p>
    <w:p w14:paraId="6B00D415" w14:textId="77777777" w:rsidR="00C374B8" w:rsidRDefault="00C374B8" w:rsidP="00916387">
      <w:pPr>
        <w:jc w:val="both"/>
        <w:rPr>
          <w:rFonts w:ascii="Bookman Old Style" w:hAnsi="Bookman Old Style" w:cs="Arial"/>
          <w:b/>
        </w:rPr>
      </w:pPr>
    </w:p>
    <w:p w14:paraId="19D52650" w14:textId="77777777" w:rsidR="00E32E0D" w:rsidRDefault="00E32E0D" w:rsidP="00916387">
      <w:pPr>
        <w:jc w:val="both"/>
        <w:rPr>
          <w:rFonts w:ascii="Bookman Old Style" w:hAnsi="Bookman Old Style" w:cs="Arial"/>
          <w:b/>
        </w:rPr>
      </w:pPr>
    </w:p>
    <w:p w14:paraId="212B8822" w14:textId="77777777" w:rsidR="00E32E0D" w:rsidRDefault="00E32E0D" w:rsidP="00916387">
      <w:pPr>
        <w:jc w:val="both"/>
        <w:rPr>
          <w:rFonts w:ascii="Bookman Old Style" w:hAnsi="Bookman Old Style" w:cs="Arial"/>
          <w:b/>
        </w:rPr>
      </w:pPr>
    </w:p>
    <w:p w14:paraId="1E123541" w14:textId="77777777" w:rsidR="00E32E0D" w:rsidRPr="00B2421A" w:rsidRDefault="00E32E0D" w:rsidP="00916387">
      <w:pPr>
        <w:jc w:val="both"/>
        <w:rPr>
          <w:rFonts w:ascii="Bookman Old Style" w:hAnsi="Bookman Old Style" w:cs="Arial"/>
          <w:b/>
        </w:rPr>
      </w:pPr>
    </w:p>
    <w:p w14:paraId="3B91BB3B" w14:textId="77777777" w:rsidR="00916387" w:rsidRPr="00B2421A" w:rsidRDefault="00A6621D" w:rsidP="00A6621D">
      <w:pPr>
        <w:spacing w:line="360" w:lineRule="auto"/>
        <w:jc w:val="both"/>
        <w:rPr>
          <w:rFonts w:ascii="Bookman Old Style" w:hAnsi="Bookman Old Style" w:cs="Arial"/>
          <w:b/>
        </w:rPr>
      </w:pPr>
      <w:r w:rsidRPr="00B2421A">
        <w:rPr>
          <w:rFonts w:ascii="Bookman Old Style" w:hAnsi="Bookman Old Style" w:cs="Arial"/>
          <w:b/>
        </w:rPr>
        <w:lastRenderedPageBreak/>
        <w:t xml:space="preserve">Tartalomjegyzék </w:t>
      </w:r>
    </w:p>
    <w:p w14:paraId="60C89E3F" w14:textId="77777777" w:rsidR="00B2421A" w:rsidRDefault="00A6621D">
      <w:pPr>
        <w:pStyle w:val="TJ1"/>
        <w:tabs>
          <w:tab w:val="left" w:pos="480"/>
          <w:tab w:val="right" w:leader="dot" w:pos="9061"/>
        </w:tabs>
        <w:rPr>
          <w:rFonts w:ascii="Times New Roman" w:hAnsi="Times New Roman"/>
          <w:noProof/>
          <w:sz w:val="24"/>
          <w:lang w:eastAsia="hu-HU"/>
        </w:rPr>
      </w:pPr>
      <w:r w:rsidRPr="00B2421A">
        <w:rPr>
          <w:rFonts w:cs="Arial"/>
        </w:rPr>
        <w:fldChar w:fldCharType="begin"/>
      </w:r>
      <w:r w:rsidRPr="00B2421A">
        <w:rPr>
          <w:rFonts w:cs="Arial"/>
        </w:rPr>
        <w:instrText xml:space="preserve"> TOC \o "1-3" \h \z \u </w:instrText>
      </w:r>
      <w:r w:rsidRPr="00B2421A">
        <w:rPr>
          <w:rFonts w:cs="Arial"/>
        </w:rPr>
        <w:fldChar w:fldCharType="separate"/>
      </w:r>
      <w:hyperlink w:anchor="_Toc345230272" w:history="1">
        <w:r w:rsidR="00B2421A" w:rsidRPr="007B13FB">
          <w:rPr>
            <w:rStyle w:val="Hiperhivatkozs"/>
            <w:rFonts w:cs="Arial"/>
            <w:b/>
            <w:noProof/>
          </w:rPr>
          <w:t>I.</w:t>
        </w:r>
        <w:r w:rsidR="00B2421A">
          <w:rPr>
            <w:rFonts w:ascii="Times New Roman" w:hAnsi="Times New Roman"/>
            <w:noProof/>
            <w:sz w:val="24"/>
            <w:lang w:eastAsia="hu-HU"/>
          </w:rPr>
          <w:tab/>
        </w:r>
        <w:r w:rsidR="00B2421A" w:rsidRPr="007B13FB">
          <w:rPr>
            <w:rStyle w:val="Hiperhivatkozs"/>
            <w:rFonts w:eastAsia="Calibri" w:cs="Calibri"/>
            <w:b/>
            <w:noProof/>
          </w:rPr>
          <w:t>A belső ellenőrzés által végzett tevékenység bemutatása önértékelés alapján</w:t>
        </w:r>
        <w:r w:rsidR="00B2421A">
          <w:rPr>
            <w:noProof/>
            <w:webHidden/>
          </w:rPr>
          <w:tab/>
        </w:r>
      </w:hyperlink>
    </w:p>
    <w:p w14:paraId="0B6BD299" w14:textId="77777777" w:rsidR="00B2421A" w:rsidRDefault="00B2421A">
      <w:pPr>
        <w:pStyle w:val="TJ2"/>
        <w:tabs>
          <w:tab w:val="left" w:pos="960"/>
          <w:tab w:val="right" w:leader="dot" w:pos="9061"/>
        </w:tabs>
        <w:rPr>
          <w:noProof/>
          <w:lang w:eastAsia="hu-HU"/>
        </w:rPr>
      </w:pPr>
      <w:hyperlink w:anchor="_Toc345230273" w:history="1">
        <w:r w:rsidRPr="007B13FB">
          <w:rPr>
            <w:rStyle w:val="Hiperhivatkozs"/>
            <w:rFonts w:ascii="Bookman Old Style" w:hAnsi="Bookman Old Style" w:cs="Arial"/>
            <w:noProof/>
          </w:rPr>
          <w:t>I.1.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Az éves ellenőrzési tervben foglalt feladatok teljesítésének értékelése</w:t>
        </w:r>
        <w:r>
          <w:rPr>
            <w:noProof/>
            <w:webHidden/>
          </w:rPr>
          <w:tab/>
        </w:r>
      </w:hyperlink>
    </w:p>
    <w:p w14:paraId="427AE6C9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74" w:history="1">
        <w:r w:rsidRPr="007B13FB">
          <w:rPr>
            <w:rStyle w:val="Hiperhivatkozs"/>
            <w:rFonts w:ascii="Bookman Old Style" w:hAnsi="Bookman Old Style" w:cs="Arial"/>
            <w:noProof/>
          </w:rPr>
          <w:t>I.1.1.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tárgyévre vonatkozó éves ellenőrzési terv teljesítése, az ellenőrzések összesítése</w:t>
        </w:r>
        <w:r>
          <w:rPr>
            <w:noProof/>
            <w:webHidden/>
          </w:rPr>
          <w:tab/>
        </w:r>
      </w:hyperlink>
    </w:p>
    <w:p w14:paraId="7FF4977D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75" w:history="1">
        <w:r w:rsidRPr="007B13FB">
          <w:rPr>
            <w:rStyle w:val="Hiperhivatkozs"/>
            <w:rFonts w:ascii="Bookman Old Style" w:hAnsi="Bookman Old Style" w:cs="Arial"/>
            <w:noProof/>
          </w:rPr>
          <w:t>I.1.2.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Az ellenőrzések során büntető-, szabálysértési, kártérítési, illetve fegyelmi eljárás megindítására okot adó cselekmény, mulasztás vagy hiányosság gyanúja kapcsán tett jelentések száma és rövid összefoglalása</w:t>
        </w:r>
        <w:r>
          <w:rPr>
            <w:noProof/>
            <w:webHidden/>
          </w:rPr>
          <w:tab/>
        </w:r>
      </w:hyperlink>
    </w:p>
    <w:p w14:paraId="65649AE2" w14:textId="77777777" w:rsidR="00B2421A" w:rsidRDefault="00B2421A">
      <w:pPr>
        <w:pStyle w:val="TJ2"/>
        <w:tabs>
          <w:tab w:val="left" w:pos="960"/>
          <w:tab w:val="right" w:leader="dot" w:pos="9061"/>
        </w:tabs>
        <w:rPr>
          <w:noProof/>
          <w:lang w:eastAsia="hu-HU"/>
        </w:rPr>
      </w:pPr>
      <w:hyperlink w:anchor="_Toc345230276" w:history="1">
        <w:r w:rsidRPr="007B13FB">
          <w:rPr>
            <w:rStyle w:val="Hiperhivatkozs"/>
            <w:rFonts w:ascii="Bookman Old Style" w:hAnsi="Bookman Old Style" w:cs="Arial"/>
            <w:noProof/>
          </w:rPr>
          <w:t>I.2.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bizonyosságot adó tevékenységet elősegítő és akadályozó tényezők bemutatása</w:t>
        </w:r>
        <w:r>
          <w:rPr>
            <w:noProof/>
            <w:webHidden/>
          </w:rPr>
          <w:tab/>
        </w:r>
      </w:hyperlink>
    </w:p>
    <w:p w14:paraId="5F96AF55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77" w:history="1">
        <w:r w:rsidRPr="007B13FB">
          <w:rPr>
            <w:rStyle w:val="Hiperhivatkozs"/>
            <w:rFonts w:ascii="Bookman Old Style" w:hAnsi="Bookman Old Style" w:cs="Arial"/>
            <w:noProof/>
          </w:rPr>
          <w:t>I.2.1.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ellenőrzési egység(ek) humánerőforrás-ellátottsága</w:t>
        </w:r>
        <w:r>
          <w:rPr>
            <w:noProof/>
            <w:webHidden/>
          </w:rPr>
          <w:tab/>
        </w:r>
      </w:hyperlink>
    </w:p>
    <w:p w14:paraId="32D14AEA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78" w:history="1">
        <w:r w:rsidRPr="007B13FB">
          <w:rPr>
            <w:rStyle w:val="Hiperhivatkozs"/>
            <w:rFonts w:ascii="Bookman Old Style" w:hAnsi="Bookman Old Style" w:cs="Arial"/>
            <w:noProof/>
          </w:rPr>
          <w:t>I.2.2.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ellenőrzési egység és a belső ellenőrök szervezeti és funkcionális függetlenségének biztosítása</w:t>
        </w:r>
        <w:r>
          <w:rPr>
            <w:noProof/>
            <w:webHidden/>
          </w:rPr>
          <w:tab/>
        </w:r>
      </w:hyperlink>
    </w:p>
    <w:p w14:paraId="2233B03A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79" w:history="1">
        <w:r w:rsidRPr="007B13FB">
          <w:rPr>
            <w:rStyle w:val="Hiperhivatkozs"/>
            <w:rFonts w:ascii="Bookman Old Style" w:hAnsi="Bookman Old Style" w:cs="Arial"/>
            <w:noProof/>
          </w:rPr>
          <w:t>I.2.3.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Összeférhetetlenségi esetek</w:t>
        </w:r>
        <w:r>
          <w:rPr>
            <w:noProof/>
            <w:webHidden/>
          </w:rPr>
          <w:tab/>
        </w:r>
      </w:hyperlink>
    </w:p>
    <w:p w14:paraId="33FC63E8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80" w:history="1">
        <w:r w:rsidRPr="007B13FB">
          <w:rPr>
            <w:rStyle w:val="Hiperhivatkozs"/>
            <w:rFonts w:ascii="Bookman Old Style" w:hAnsi="Bookman Old Style" w:cs="Arial"/>
            <w:noProof/>
          </w:rPr>
          <w:t>I.2.4.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ellenőri jogokkal kapcsolatos esetleges korlátozások bemutatása</w:t>
        </w:r>
        <w:r>
          <w:rPr>
            <w:noProof/>
            <w:webHidden/>
          </w:rPr>
          <w:tab/>
        </w:r>
      </w:hyperlink>
    </w:p>
    <w:p w14:paraId="74919604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81" w:history="1">
        <w:r w:rsidRPr="007B13FB">
          <w:rPr>
            <w:rStyle w:val="Hiperhivatkozs"/>
            <w:rFonts w:ascii="Bookman Old Style" w:hAnsi="Bookman Old Style" w:cs="Arial"/>
            <w:noProof/>
          </w:rPr>
          <w:t>I.2.5.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ellenőrzés végrehajtását akadályozó tényezők</w:t>
        </w:r>
        <w:r>
          <w:rPr>
            <w:noProof/>
            <w:webHidden/>
          </w:rPr>
          <w:tab/>
        </w:r>
      </w:hyperlink>
    </w:p>
    <w:p w14:paraId="10351663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82" w:history="1">
        <w:r w:rsidRPr="007B13FB">
          <w:rPr>
            <w:rStyle w:val="Hiperhivatkozs"/>
            <w:rFonts w:ascii="Bookman Old Style" w:hAnsi="Bookman Old Style" w:cs="Arial"/>
            <w:noProof/>
          </w:rPr>
          <w:t>I.2.6.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Az ellenőrzések nyilvántartása</w:t>
        </w:r>
        <w:r>
          <w:rPr>
            <w:noProof/>
            <w:webHidden/>
          </w:rPr>
          <w:tab/>
        </w:r>
      </w:hyperlink>
    </w:p>
    <w:p w14:paraId="5FA87C0D" w14:textId="77777777" w:rsidR="00B2421A" w:rsidRDefault="00B2421A">
      <w:pPr>
        <w:pStyle w:val="TJ3"/>
        <w:tabs>
          <w:tab w:val="left" w:pos="1440"/>
          <w:tab w:val="right" w:leader="dot" w:pos="9061"/>
        </w:tabs>
        <w:rPr>
          <w:noProof/>
          <w:lang w:eastAsia="hu-HU"/>
        </w:rPr>
      </w:pPr>
      <w:hyperlink w:anchor="_Toc345230283" w:history="1">
        <w:r w:rsidRPr="007B13FB">
          <w:rPr>
            <w:rStyle w:val="Hiperhivatkozs"/>
            <w:rFonts w:ascii="Bookman Old Style" w:hAnsi="Bookman Old Style" w:cs="Arial"/>
            <w:noProof/>
          </w:rPr>
          <w:t>I.2.7.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Az ellenőrzési tevékenység fejlesztésére vonatkozó javaslatok</w:t>
        </w:r>
        <w:r>
          <w:rPr>
            <w:noProof/>
            <w:webHidden/>
          </w:rPr>
          <w:tab/>
        </w:r>
      </w:hyperlink>
    </w:p>
    <w:p w14:paraId="5DABDF61" w14:textId="77777777" w:rsidR="00B2421A" w:rsidRDefault="00B2421A">
      <w:pPr>
        <w:pStyle w:val="TJ2"/>
        <w:tabs>
          <w:tab w:val="left" w:pos="960"/>
          <w:tab w:val="right" w:leader="dot" w:pos="9061"/>
        </w:tabs>
        <w:rPr>
          <w:noProof/>
          <w:lang w:eastAsia="hu-HU"/>
        </w:rPr>
      </w:pPr>
      <w:hyperlink w:anchor="_Toc345230284" w:history="1">
        <w:r w:rsidRPr="007B13FB">
          <w:rPr>
            <w:rStyle w:val="Hiperhivatkozs"/>
            <w:rFonts w:ascii="Bookman Old Style" w:hAnsi="Bookman Old Style" w:cs="Arial"/>
            <w:noProof/>
          </w:rPr>
          <w:t>I.3.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bizonyosságot adó tevékenységet elősegítő és akadályozó tényezők bemutatása</w:t>
        </w:r>
        <w:r w:rsidR="00E32E0D" w:rsidRPr="00E32E0D">
          <w:rPr>
            <w:rStyle w:val="Hiperhivatkozs"/>
            <w:rFonts w:ascii="Bookman Old Style" w:eastAsia="Calibri" w:hAnsi="Bookman Old Style" w:cs="Calibri"/>
            <w:noProof/>
          </w:rPr>
          <w:t>(tanácsadói tevékenység bemutatása)</w:t>
        </w:r>
        <w:r>
          <w:rPr>
            <w:noProof/>
            <w:webHidden/>
          </w:rPr>
          <w:tab/>
        </w:r>
      </w:hyperlink>
    </w:p>
    <w:p w14:paraId="25A57238" w14:textId="77777777" w:rsidR="00B2421A" w:rsidRDefault="00B2421A">
      <w:pPr>
        <w:pStyle w:val="TJ1"/>
        <w:tabs>
          <w:tab w:val="left" w:pos="720"/>
          <w:tab w:val="right" w:leader="dot" w:pos="9061"/>
        </w:tabs>
        <w:rPr>
          <w:rFonts w:ascii="Times New Roman" w:hAnsi="Times New Roman"/>
          <w:noProof/>
          <w:sz w:val="24"/>
          <w:lang w:eastAsia="hu-HU"/>
        </w:rPr>
      </w:pPr>
      <w:hyperlink w:anchor="_Toc345230285" w:history="1">
        <w:r w:rsidRPr="007B13FB">
          <w:rPr>
            <w:rStyle w:val="Hiperhivatkozs"/>
            <w:rFonts w:cs="Arial"/>
            <w:b/>
            <w:noProof/>
          </w:rPr>
          <w:t>II.</w:t>
        </w:r>
        <w:r>
          <w:rPr>
            <w:rFonts w:ascii="Times New Roman" w:hAnsi="Times New Roman"/>
            <w:noProof/>
            <w:sz w:val="24"/>
            <w:lang w:eastAsia="hu-HU"/>
          </w:rPr>
          <w:tab/>
        </w:r>
        <w:r w:rsidRPr="007B13FB">
          <w:rPr>
            <w:rStyle w:val="Hiperhivatkozs"/>
            <w:rFonts w:eastAsia="Calibri" w:cs="Calibri"/>
            <w:b/>
            <w:noProof/>
          </w:rPr>
          <w:t>A belső kontrollrendszer működésének értékelése ellenőrzési tapasztalatok alapján</w:t>
        </w:r>
        <w:r>
          <w:rPr>
            <w:noProof/>
            <w:webHidden/>
          </w:rPr>
          <w:tab/>
        </w:r>
      </w:hyperlink>
    </w:p>
    <w:p w14:paraId="571B89FC" w14:textId="77777777" w:rsidR="00B2421A" w:rsidRDefault="00B2421A">
      <w:pPr>
        <w:pStyle w:val="TJ2"/>
        <w:tabs>
          <w:tab w:val="left" w:pos="960"/>
          <w:tab w:val="right" w:leader="dot" w:pos="9061"/>
        </w:tabs>
        <w:rPr>
          <w:noProof/>
          <w:lang w:eastAsia="hu-HU"/>
        </w:rPr>
      </w:pPr>
      <w:hyperlink w:anchor="_Toc345230286" w:history="1">
        <w:r w:rsidRPr="007B13FB">
          <w:rPr>
            <w:rStyle w:val="Hiperhivatkozs"/>
            <w:rFonts w:ascii="Bookman Old Style" w:hAnsi="Bookman Old Style" w:cs="Arial"/>
            <w:noProof/>
          </w:rPr>
          <w:t>II.1.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kontrollrendszer szabályszerűségének, gazdaságosságának, hatékonyságának és eredményességének növelése, javítása érdekében tett fontosabb javaslatok</w:t>
        </w:r>
        <w:r>
          <w:rPr>
            <w:noProof/>
            <w:webHidden/>
          </w:rPr>
          <w:tab/>
        </w:r>
      </w:hyperlink>
    </w:p>
    <w:p w14:paraId="568978DD" w14:textId="77777777" w:rsidR="00B2421A" w:rsidRDefault="00B2421A">
      <w:pPr>
        <w:pStyle w:val="TJ2"/>
        <w:tabs>
          <w:tab w:val="left" w:pos="960"/>
          <w:tab w:val="right" w:leader="dot" w:pos="9061"/>
        </w:tabs>
        <w:rPr>
          <w:noProof/>
          <w:lang w:eastAsia="hu-HU"/>
        </w:rPr>
      </w:pPr>
      <w:hyperlink w:anchor="_Toc345230287" w:history="1">
        <w:r w:rsidRPr="007B13FB">
          <w:rPr>
            <w:rStyle w:val="Hiperhivatkozs"/>
            <w:rFonts w:ascii="Bookman Old Style" w:hAnsi="Bookman Old Style" w:cs="Arial"/>
            <w:noProof/>
          </w:rPr>
          <w:t>II.2.</w:t>
        </w:r>
        <w:r>
          <w:rPr>
            <w:noProof/>
            <w:lang w:eastAsia="hu-HU"/>
          </w:rPr>
          <w:tab/>
        </w:r>
        <w:r w:rsidRPr="007B13FB">
          <w:rPr>
            <w:rStyle w:val="Hiperhivatkozs"/>
            <w:rFonts w:ascii="Bookman Old Style" w:eastAsia="Calibri" w:hAnsi="Bookman Old Style" w:cs="Calibri"/>
            <w:noProof/>
          </w:rPr>
          <w:t>A belső kontrollrendszer öt elemének értékelése</w:t>
        </w:r>
        <w:r>
          <w:rPr>
            <w:noProof/>
            <w:webHidden/>
          </w:rPr>
          <w:tab/>
        </w:r>
      </w:hyperlink>
    </w:p>
    <w:p w14:paraId="72EE9AD6" w14:textId="77777777" w:rsidR="00B2421A" w:rsidRDefault="00B2421A">
      <w:pPr>
        <w:pStyle w:val="TJ1"/>
        <w:tabs>
          <w:tab w:val="left" w:pos="720"/>
          <w:tab w:val="right" w:leader="dot" w:pos="9061"/>
        </w:tabs>
        <w:rPr>
          <w:rFonts w:ascii="Times New Roman" w:hAnsi="Times New Roman"/>
          <w:noProof/>
          <w:sz w:val="24"/>
          <w:lang w:eastAsia="hu-HU"/>
        </w:rPr>
      </w:pPr>
      <w:hyperlink w:anchor="_Toc345230288" w:history="1">
        <w:r w:rsidRPr="007B13FB">
          <w:rPr>
            <w:rStyle w:val="Hiperhivatkozs"/>
            <w:rFonts w:cs="Arial"/>
            <w:b/>
            <w:noProof/>
          </w:rPr>
          <w:t>III.</w:t>
        </w:r>
        <w:r>
          <w:rPr>
            <w:rFonts w:ascii="Times New Roman" w:hAnsi="Times New Roman"/>
            <w:noProof/>
            <w:sz w:val="24"/>
            <w:lang w:eastAsia="hu-HU"/>
          </w:rPr>
          <w:tab/>
        </w:r>
        <w:r w:rsidRPr="007B13FB">
          <w:rPr>
            <w:rStyle w:val="Hiperhivatkozs"/>
            <w:rFonts w:eastAsia="Calibri" w:cs="Calibri"/>
            <w:b/>
            <w:noProof/>
          </w:rPr>
          <w:t>A</w:t>
        </w:r>
        <w:r w:rsidRPr="007B13FB">
          <w:rPr>
            <w:rStyle w:val="Hiperhivatkozs"/>
            <w:rFonts w:eastAsia="Calibri" w:cs="Calibri"/>
            <w:b/>
            <w:bCs/>
            <w:noProof/>
          </w:rPr>
          <w:t>z intézkedési tervek megvalósítása</w:t>
        </w:r>
        <w:r>
          <w:rPr>
            <w:noProof/>
            <w:webHidden/>
          </w:rPr>
          <w:tab/>
        </w:r>
      </w:hyperlink>
    </w:p>
    <w:p w14:paraId="46B6FACE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  <w:r w:rsidRPr="00B2421A">
        <w:rPr>
          <w:rFonts w:ascii="Bookman Old Style" w:hAnsi="Bookman Old Style" w:cs="Arial"/>
        </w:rPr>
        <w:fldChar w:fldCharType="end"/>
      </w:r>
    </w:p>
    <w:p w14:paraId="74C07C70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1772B918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2733907B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003A9275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621148D3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4C23BAF1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11C7942F" w14:textId="77777777" w:rsidR="00A6621D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308C8061" w14:textId="77777777" w:rsidR="00944240" w:rsidRPr="00B2421A" w:rsidRDefault="00944240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1925D0A6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5AC227C0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657BDA79" w14:textId="77777777" w:rsidR="00A6621D" w:rsidRPr="00B2421A" w:rsidRDefault="00A6621D" w:rsidP="00A6621D">
      <w:pPr>
        <w:spacing w:line="360" w:lineRule="auto"/>
        <w:jc w:val="both"/>
        <w:rPr>
          <w:rFonts w:ascii="Bookman Old Style" w:hAnsi="Bookman Old Style" w:cs="Arial"/>
        </w:rPr>
      </w:pPr>
    </w:p>
    <w:p w14:paraId="5B79391C" w14:textId="77777777" w:rsidR="00A6621D" w:rsidRPr="00B2421A" w:rsidRDefault="00A6621D" w:rsidP="00FC394B">
      <w:pPr>
        <w:numPr>
          <w:ilvl w:val="0"/>
          <w:numId w:val="1"/>
        </w:numPr>
        <w:spacing w:line="360" w:lineRule="auto"/>
        <w:jc w:val="both"/>
        <w:outlineLvl w:val="0"/>
        <w:rPr>
          <w:rFonts w:ascii="Bookman Old Style" w:hAnsi="Bookman Old Style" w:cs="Arial"/>
        </w:rPr>
      </w:pPr>
      <w:bookmarkStart w:id="0" w:name="_Toc345230272"/>
      <w:r w:rsidRPr="00B2421A">
        <w:rPr>
          <w:rFonts w:ascii="Bookman Old Style" w:eastAsia="Calibri" w:hAnsi="Bookman Old Style" w:cs="Calibri"/>
          <w:b/>
          <w:sz w:val="22"/>
          <w:szCs w:val="22"/>
        </w:rPr>
        <w:lastRenderedPageBreak/>
        <w:t>A belső ellenőrzés által végzett tevékenység bemutatása önértékelés alapján</w:t>
      </w:r>
      <w:bookmarkEnd w:id="0"/>
    </w:p>
    <w:p w14:paraId="5490C941" w14:textId="77777777" w:rsidR="006672B8" w:rsidRPr="00CF4513" w:rsidRDefault="000A4FC9" w:rsidP="000A4FC9">
      <w:pPr>
        <w:jc w:val="both"/>
        <w:rPr>
          <w:rFonts w:ascii="Arial" w:hAnsi="Arial" w:cs="Arial"/>
        </w:rPr>
      </w:pPr>
      <w:r w:rsidRPr="00CF4513">
        <w:rPr>
          <w:rFonts w:ascii="Arial" w:hAnsi="Arial" w:cs="Arial"/>
        </w:rPr>
        <w:t> </w:t>
      </w:r>
    </w:p>
    <w:p w14:paraId="51859389" w14:textId="77777777" w:rsidR="000A4FC9" w:rsidRPr="00CF4513" w:rsidRDefault="00210B54" w:rsidP="000A4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102529">
        <w:rPr>
          <w:rFonts w:ascii="Arial" w:hAnsi="Arial" w:cs="Arial"/>
        </w:rPr>
        <w:t>20</w:t>
      </w:r>
      <w:r w:rsidR="00C513AE">
        <w:rPr>
          <w:rFonts w:ascii="Arial" w:hAnsi="Arial" w:cs="Arial"/>
        </w:rPr>
        <w:t>. évi ellenőrzési feladat</w:t>
      </w:r>
      <w:r w:rsidR="000A4FC9" w:rsidRPr="00CF4513">
        <w:rPr>
          <w:rFonts w:ascii="Arial" w:hAnsi="Arial" w:cs="Arial"/>
        </w:rPr>
        <w:t xml:space="preserve"> az ellenőrzésre vonatkozó stratégia (ellenőrzés célja, módszere, tárgya, terjedelme, ellenőrzött időszak) és az azt megalapozó azonosított kockázati tényez</w:t>
      </w:r>
      <w:r w:rsidR="00B17B7E">
        <w:rPr>
          <w:rFonts w:ascii="Arial" w:hAnsi="Arial" w:cs="Arial"/>
        </w:rPr>
        <w:t xml:space="preserve">ők </w:t>
      </w:r>
      <w:proofErr w:type="gramStart"/>
      <w:r w:rsidR="00B17B7E">
        <w:rPr>
          <w:rFonts w:ascii="Arial" w:hAnsi="Arial" w:cs="Arial"/>
        </w:rPr>
        <w:t>figyelembe vételével</w:t>
      </w:r>
      <w:proofErr w:type="gramEnd"/>
      <w:r w:rsidR="00B17B7E">
        <w:rPr>
          <w:rFonts w:ascii="Arial" w:hAnsi="Arial" w:cs="Arial"/>
        </w:rPr>
        <w:t xml:space="preserve"> került</w:t>
      </w:r>
      <w:r w:rsidR="000A4FC9" w:rsidRPr="00CF4513">
        <w:rPr>
          <w:rFonts w:ascii="Arial" w:hAnsi="Arial" w:cs="Arial"/>
        </w:rPr>
        <w:t xml:space="preserve"> meghatározásra az önkorm</w:t>
      </w:r>
      <w:r w:rsidR="00B17B7E">
        <w:rPr>
          <w:rFonts w:ascii="Arial" w:hAnsi="Arial" w:cs="Arial"/>
        </w:rPr>
        <w:t>ányzat</w:t>
      </w:r>
      <w:r w:rsidR="000A4FC9" w:rsidRPr="00CF4513">
        <w:rPr>
          <w:rFonts w:ascii="Arial" w:hAnsi="Arial" w:cs="Arial"/>
        </w:rPr>
        <w:t xml:space="preserve"> ellenőrzési tevékenységét meghatározó jogszabályi előírásoknak megfelelően.</w:t>
      </w:r>
    </w:p>
    <w:p w14:paraId="0C79CF35" w14:textId="77777777" w:rsidR="000A4FC9" w:rsidRDefault="000A4FC9" w:rsidP="000A4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írásos jelentésen kívül az esetleges hiányosságok pótlására, javítására a helyszínen szóban is segítő szándékú javaslatot is tett az ellenőrzés.</w:t>
      </w:r>
    </w:p>
    <w:p w14:paraId="380ECEF7" w14:textId="77777777" w:rsidR="000A4FC9" w:rsidRDefault="000A4FC9" w:rsidP="000A4FC9">
      <w:pPr>
        <w:jc w:val="both"/>
        <w:rPr>
          <w:rFonts w:ascii="Arial" w:hAnsi="Arial" w:cs="Arial"/>
        </w:rPr>
      </w:pPr>
    </w:p>
    <w:p w14:paraId="2B26A1BD" w14:textId="77777777" w:rsidR="000A4FC9" w:rsidRDefault="000A4FC9" w:rsidP="000A4FC9">
      <w:pPr>
        <w:jc w:val="both"/>
        <w:rPr>
          <w:rFonts w:ascii="Arial" w:hAnsi="Arial" w:cs="Arial"/>
          <w:u w:val="single"/>
        </w:rPr>
      </w:pPr>
      <w:r w:rsidRPr="007252E5">
        <w:rPr>
          <w:rFonts w:ascii="Arial" w:hAnsi="Arial" w:cs="Arial"/>
          <w:u w:val="single"/>
        </w:rPr>
        <w:t>A 20</w:t>
      </w:r>
      <w:r w:rsidR="00102529">
        <w:rPr>
          <w:rFonts w:ascii="Arial" w:hAnsi="Arial" w:cs="Arial"/>
          <w:u w:val="single"/>
        </w:rPr>
        <w:t>20</w:t>
      </w:r>
      <w:r w:rsidRPr="007252E5">
        <w:rPr>
          <w:rFonts w:ascii="Arial" w:hAnsi="Arial" w:cs="Arial"/>
          <w:u w:val="single"/>
        </w:rPr>
        <w:t>. évi belső elle</w:t>
      </w:r>
      <w:r w:rsidR="00541078">
        <w:rPr>
          <w:rFonts w:ascii="Arial" w:hAnsi="Arial" w:cs="Arial"/>
          <w:u w:val="single"/>
        </w:rPr>
        <w:t>nőrzés kiterjedt</w:t>
      </w:r>
      <w:r w:rsidRPr="007252E5">
        <w:rPr>
          <w:rFonts w:ascii="Arial" w:hAnsi="Arial" w:cs="Arial"/>
          <w:u w:val="single"/>
        </w:rPr>
        <w:t>:</w:t>
      </w:r>
    </w:p>
    <w:p w14:paraId="0417987F" w14:textId="77777777" w:rsidR="00210B54" w:rsidRPr="007252E5" w:rsidRDefault="00210B54" w:rsidP="000A4FC9">
      <w:pPr>
        <w:jc w:val="both"/>
        <w:rPr>
          <w:rFonts w:ascii="Arial" w:hAnsi="Arial" w:cs="Arial"/>
          <w:u w:val="single"/>
        </w:rPr>
      </w:pPr>
    </w:p>
    <w:p w14:paraId="1841E288" w14:textId="77777777" w:rsidR="00102529" w:rsidRDefault="00102529" w:rsidP="00944240">
      <w:pPr>
        <w:jc w:val="both"/>
        <w:rPr>
          <w:rFonts w:ascii="Arial" w:eastAsia="Calibri" w:hAnsi="Arial" w:cs="Arial"/>
          <w:lang w:val="en-GB" w:eastAsia="hu-HU"/>
        </w:rPr>
      </w:pPr>
      <w:r w:rsidRPr="00102529">
        <w:rPr>
          <w:rFonts w:ascii="Arial" w:eastAsia="Calibri" w:hAnsi="Arial" w:cs="Arial"/>
          <w:lang w:val="en-GB" w:eastAsia="hu-HU"/>
        </w:rPr>
        <w:t xml:space="preserve">Az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ellenőrzés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célkitűzése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,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tárgya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meghatározásában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foglaltak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alapján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a Német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Nemzetiségi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Önkormányzat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Mórnál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az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elnök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, a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nemzetiségi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önkormányzati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képviselők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vagyonnyilatkozat-tételi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kötelezettsége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teljesítésének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igazolása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, a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nyilatkozatok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nyilvántartása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,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megőrzése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a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hatályos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jogszabályi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és a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belső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szabályzat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előírásainak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megfelelően</w:t>
      </w:r>
      <w:proofErr w:type="spellEnd"/>
      <w:r w:rsidRPr="00102529">
        <w:rPr>
          <w:rFonts w:ascii="Arial" w:eastAsia="Calibri" w:hAnsi="Arial" w:cs="Arial"/>
          <w:lang w:val="en-GB" w:eastAsia="hu-HU"/>
        </w:rPr>
        <w:t xml:space="preserve"> </w:t>
      </w:r>
      <w:proofErr w:type="spellStart"/>
      <w:r w:rsidRPr="00102529">
        <w:rPr>
          <w:rFonts w:ascii="Arial" w:eastAsia="Calibri" w:hAnsi="Arial" w:cs="Arial"/>
          <w:lang w:val="en-GB" w:eastAsia="hu-HU"/>
        </w:rPr>
        <w:t>történt</w:t>
      </w:r>
      <w:proofErr w:type="spellEnd"/>
      <w:r w:rsidRPr="00102529">
        <w:rPr>
          <w:rFonts w:ascii="Arial" w:eastAsia="Calibri" w:hAnsi="Arial" w:cs="Arial"/>
          <w:lang w:val="en-GB" w:eastAsia="hu-HU"/>
        </w:rPr>
        <w:t>-e.</w:t>
      </w:r>
    </w:p>
    <w:p w14:paraId="329C3D32" w14:textId="77777777" w:rsidR="00102529" w:rsidRDefault="00102529" w:rsidP="00944240">
      <w:pPr>
        <w:jc w:val="both"/>
        <w:rPr>
          <w:rFonts w:ascii="Arial" w:eastAsia="Calibri" w:hAnsi="Arial" w:cs="Arial"/>
          <w:lang w:val="en-GB" w:eastAsia="hu-HU"/>
        </w:rPr>
      </w:pPr>
    </w:p>
    <w:p w14:paraId="2EE46D13" w14:textId="77777777" w:rsidR="00944240" w:rsidRDefault="00541078" w:rsidP="009442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Tervezett ellenőrzés</w:t>
      </w:r>
      <w:r w:rsidR="00944240" w:rsidRPr="00944240">
        <w:rPr>
          <w:rFonts w:ascii="Arial" w:hAnsi="Arial" w:cs="Arial"/>
          <w:u w:val="single"/>
        </w:rPr>
        <w:t xml:space="preserve"> tárgya</w:t>
      </w:r>
      <w:r w:rsidR="00FD7C26">
        <w:rPr>
          <w:rFonts w:ascii="Arial" w:hAnsi="Arial" w:cs="Arial"/>
          <w:u w:val="single"/>
        </w:rPr>
        <w:t>:</w:t>
      </w:r>
    </w:p>
    <w:p w14:paraId="0C393770" w14:textId="77777777" w:rsidR="008B0674" w:rsidRDefault="00102529" w:rsidP="00944240">
      <w:pPr>
        <w:jc w:val="both"/>
        <w:rPr>
          <w:rFonts w:ascii="Arial" w:hAnsi="Arial" w:cs="Arial"/>
          <w:szCs w:val="20"/>
        </w:rPr>
      </w:pPr>
      <w:r w:rsidRPr="00102529">
        <w:rPr>
          <w:rFonts w:ascii="Arial" w:hAnsi="Arial" w:cs="Arial"/>
          <w:szCs w:val="20"/>
        </w:rPr>
        <w:t>Vagyonnyilatkozat-tételi kötelezettség teljesítésének ellenőrzése</w:t>
      </w:r>
    </w:p>
    <w:p w14:paraId="0A108CBF" w14:textId="77777777" w:rsidR="00102529" w:rsidRPr="00FD7C26" w:rsidRDefault="00102529" w:rsidP="00944240">
      <w:pPr>
        <w:jc w:val="both"/>
        <w:rPr>
          <w:rFonts w:ascii="Arial" w:hAnsi="Arial" w:cs="Arial"/>
          <w:sz w:val="36"/>
          <w:u w:val="single"/>
        </w:rPr>
      </w:pPr>
    </w:p>
    <w:p w14:paraId="37F432AF" w14:textId="77777777" w:rsidR="00944240" w:rsidRDefault="00944240" w:rsidP="00944240">
      <w:pPr>
        <w:jc w:val="both"/>
        <w:rPr>
          <w:rFonts w:ascii="Arial" w:hAnsi="Arial" w:cs="Arial"/>
        </w:rPr>
      </w:pPr>
      <w:r w:rsidRPr="00944240">
        <w:rPr>
          <w:rFonts w:ascii="Arial" w:hAnsi="Arial" w:cs="Arial"/>
        </w:rPr>
        <w:t>Az ellenőrzési feladat ellátása sor</w:t>
      </w:r>
      <w:r w:rsidR="00B17B7E">
        <w:rPr>
          <w:rFonts w:ascii="Arial" w:hAnsi="Arial" w:cs="Arial"/>
        </w:rPr>
        <w:t>án</w:t>
      </w:r>
      <w:r w:rsidR="00522C46">
        <w:rPr>
          <w:rFonts w:ascii="Arial" w:hAnsi="Arial" w:cs="Arial"/>
        </w:rPr>
        <w:t xml:space="preserve"> a belső ellenőrzés</w:t>
      </w:r>
      <w:r w:rsidR="00614B2D">
        <w:rPr>
          <w:rFonts w:ascii="Arial" w:hAnsi="Arial" w:cs="Arial"/>
        </w:rPr>
        <w:t xml:space="preserve"> </w:t>
      </w:r>
      <w:r w:rsidR="00895C67">
        <w:rPr>
          <w:rFonts w:ascii="Arial" w:hAnsi="Arial" w:cs="Arial"/>
        </w:rPr>
        <w:t xml:space="preserve">szabályszerűségi </w:t>
      </w:r>
      <w:r w:rsidR="008B0674">
        <w:rPr>
          <w:rFonts w:ascii="Arial" w:hAnsi="Arial" w:cs="Arial"/>
        </w:rPr>
        <w:t xml:space="preserve">típusú </w:t>
      </w:r>
      <w:r w:rsidRPr="00944240">
        <w:rPr>
          <w:rFonts w:ascii="Arial" w:hAnsi="Arial" w:cs="Arial"/>
        </w:rPr>
        <w:t>ellenőrzést végzet</w:t>
      </w:r>
      <w:r w:rsidR="00BD2EED">
        <w:rPr>
          <w:rFonts w:ascii="Arial" w:hAnsi="Arial" w:cs="Arial"/>
        </w:rPr>
        <w:t>t</w:t>
      </w:r>
      <w:r w:rsidRPr="00944240">
        <w:rPr>
          <w:rFonts w:ascii="Arial" w:hAnsi="Arial" w:cs="Arial"/>
        </w:rPr>
        <w:t xml:space="preserve">. </w:t>
      </w:r>
    </w:p>
    <w:p w14:paraId="2E493F5D" w14:textId="77777777" w:rsidR="001E2C7B" w:rsidRPr="00944240" w:rsidRDefault="001E2C7B" w:rsidP="00944240">
      <w:pPr>
        <w:jc w:val="both"/>
        <w:rPr>
          <w:rFonts w:ascii="Arial" w:hAnsi="Arial" w:cs="Arial"/>
        </w:rPr>
      </w:pPr>
    </w:p>
    <w:p w14:paraId="4B1099D1" w14:textId="77777777" w:rsidR="00944240" w:rsidRPr="00944240" w:rsidRDefault="00614B2D" w:rsidP="00944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ellenőrzés</w:t>
      </w:r>
      <w:r w:rsidR="00944240" w:rsidRPr="00944240">
        <w:rPr>
          <w:rFonts w:ascii="Arial" w:hAnsi="Arial" w:cs="Arial"/>
        </w:rPr>
        <w:t xml:space="preserve"> tárgyát az öss</w:t>
      </w:r>
      <w:r w:rsidR="00B17B7E">
        <w:rPr>
          <w:rFonts w:ascii="Arial" w:hAnsi="Arial" w:cs="Arial"/>
        </w:rPr>
        <w:t>zeállított ellenőrzés</w:t>
      </w:r>
      <w:r w:rsidR="00BF08BF">
        <w:rPr>
          <w:rFonts w:ascii="Arial" w:hAnsi="Arial" w:cs="Arial"/>
        </w:rPr>
        <w:t>i program részletesen tartalmazt</w:t>
      </w:r>
      <w:r w:rsidR="00B17B7E">
        <w:rPr>
          <w:rFonts w:ascii="Arial" w:hAnsi="Arial" w:cs="Arial"/>
        </w:rPr>
        <w:t>a</w:t>
      </w:r>
      <w:r w:rsidR="00944240" w:rsidRPr="00944240">
        <w:rPr>
          <w:rFonts w:ascii="Arial" w:hAnsi="Arial" w:cs="Arial"/>
        </w:rPr>
        <w:t xml:space="preserve">. </w:t>
      </w:r>
    </w:p>
    <w:p w14:paraId="56E9C842" w14:textId="77777777" w:rsidR="00944240" w:rsidRPr="00944240" w:rsidRDefault="00944240" w:rsidP="00944240">
      <w:pPr>
        <w:jc w:val="both"/>
        <w:rPr>
          <w:rFonts w:ascii="Arial" w:hAnsi="Arial" w:cs="Arial"/>
        </w:rPr>
      </w:pPr>
    </w:p>
    <w:p w14:paraId="61B463F1" w14:textId="77777777" w:rsidR="00944240" w:rsidRDefault="00FD7C26" w:rsidP="009442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Szabályszerűségi </w:t>
      </w:r>
      <w:r w:rsidR="008B0674">
        <w:rPr>
          <w:rFonts w:ascii="Arial" w:hAnsi="Arial" w:cs="Arial"/>
          <w:u w:val="single"/>
        </w:rPr>
        <w:t xml:space="preserve">típusú </w:t>
      </w:r>
      <w:r w:rsidR="00944240" w:rsidRPr="00944240">
        <w:rPr>
          <w:rFonts w:ascii="Arial" w:hAnsi="Arial" w:cs="Arial"/>
          <w:u w:val="single"/>
        </w:rPr>
        <w:t>ellenőrzés</w:t>
      </w:r>
    </w:p>
    <w:p w14:paraId="606AF7D4" w14:textId="77777777" w:rsidR="001E2C7B" w:rsidRDefault="001E2C7B" w:rsidP="00944240">
      <w:pPr>
        <w:jc w:val="both"/>
        <w:rPr>
          <w:rFonts w:ascii="Arial" w:hAnsi="Arial" w:cs="Arial"/>
          <w:u w:val="single"/>
        </w:rPr>
      </w:pPr>
    </w:p>
    <w:p w14:paraId="02B273B5" w14:textId="77777777" w:rsidR="00FD7C26" w:rsidRDefault="00102529" w:rsidP="00FD7C26">
      <w:pPr>
        <w:ind w:left="720"/>
        <w:jc w:val="both"/>
        <w:rPr>
          <w:rFonts w:ascii="Arial" w:hAnsi="Arial" w:cs="Arial"/>
          <w:szCs w:val="20"/>
        </w:rPr>
      </w:pPr>
      <w:r w:rsidRPr="00102529">
        <w:rPr>
          <w:rFonts w:ascii="Arial" w:hAnsi="Arial" w:cs="Arial"/>
          <w:szCs w:val="20"/>
        </w:rPr>
        <w:t>Vagyonnyilatkozat-tételi kötelezettség teljesítésének ellenőrzése</w:t>
      </w:r>
    </w:p>
    <w:p w14:paraId="130DAB9E" w14:textId="77777777" w:rsidR="00102529" w:rsidRPr="00FD7C26" w:rsidRDefault="00102529" w:rsidP="00FD7C26">
      <w:pPr>
        <w:ind w:left="720"/>
        <w:jc w:val="both"/>
        <w:rPr>
          <w:rFonts w:ascii="Arial" w:hAnsi="Arial" w:cs="Arial"/>
          <w:bCs/>
        </w:rPr>
      </w:pPr>
    </w:p>
    <w:p w14:paraId="0E7D7D1C" w14:textId="77777777" w:rsidR="00A6621D" w:rsidRPr="00B81FA3" w:rsidRDefault="00A6621D" w:rsidP="00FC394B">
      <w:pPr>
        <w:numPr>
          <w:ilvl w:val="1"/>
          <w:numId w:val="1"/>
        </w:numPr>
        <w:spacing w:line="360" w:lineRule="auto"/>
        <w:jc w:val="both"/>
        <w:outlineLvl w:val="1"/>
        <w:rPr>
          <w:rFonts w:ascii="Bookman Old Style" w:hAnsi="Bookman Old Style" w:cs="Arial"/>
        </w:rPr>
      </w:pPr>
      <w:bookmarkStart w:id="1" w:name="_Toc345230273"/>
      <w:r w:rsidRPr="00B2421A">
        <w:rPr>
          <w:rFonts w:ascii="Bookman Old Style" w:eastAsia="Calibri" w:hAnsi="Bookman Old Style" w:cs="Calibri"/>
          <w:sz w:val="22"/>
          <w:szCs w:val="22"/>
        </w:rPr>
        <w:t>Az éves ellenőrzési tervben foglalt feladatok teljesítésének értékelése</w:t>
      </w:r>
      <w:bookmarkEnd w:id="1"/>
    </w:p>
    <w:p w14:paraId="7F3541D5" w14:textId="77777777" w:rsidR="008F4850" w:rsidRPr="006672B8" w:rsidRDefault="00A6621D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2" w:name="_Toc345230274"/>
      <w:r w:rsidRPr="00B2421A">
        <w:rPr>
          <w:rFonts w:ascii="Bookman Old Style" w:eastAsia="Calibri" w:hAnsi="Bookman Old Style" w:cs="Calibri"/>
          <w:sz w:val="22"/>
          <w:szCs w:val="22"/>
        </w:rPr>
        <w:t>A tárgyévre vonatkozó éves ellenőrzési terv teljesítése, az ellenőrzések összesítése</w:t>
      </w:r>
      <w:bookmarkEnd w:id="2"/>
    </w:p>
    <w:p w14:paraId="392B7E18" w14:textId="77777777" w:rsidR="00944240" w:rsidRDefault="00500001" w:rsidP="00944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02529">
        <w:rPr>
          <w:rFonts w:ascii="Arial" w:hAnsi="Arial" w:cs="Arial"/>
        </w:rPr>
        <w:t>20</w:t>
      </w:r>
      <w:r w:rsidR="00944240" w:rsidRPr="00944240">
        <w:rPr>
          <w:rFonts w:ascii="Arial" w:hAnsi="Arial" w:cs="Arial"/>
        </w:rPr>
        <w:t>. évi éves belső ellenőrzési terv alapján a követke</w:t>
      </w:r>
      <w:r w:rsidR="00DB7353">
        <w:rPr>
          <w:rFonts w:ascii="Arial" w:hAnsi="Arial" w:cs="Arial"/>
        </w:rPr>
        <w:t>ző belső ellenőrzési feladatot</w:t>
      </w:r>
      <w:r w:rsidR="00944240" w:rsidRPr="00944240">
        <w:rPr>
          <w:rFonts w:ascii="Arial" w:hAnsi="Arial" w:cs="Arial"/>
        </w:rPr>
        <w:t xml:space="preserve"> kellett végrehajtani:</w:t>
      </w:r>
    </w:p>
    <w:p w14:paraId="54911FFB" w14:textId="77777777" w:rsidR="00944240" w:rsidRPr="00944240" w:rsidRDefault="00944240" w:rsidP="00944240">
      <w:pPr>
        <w:jc w:val="both"/>
        <w:rPr>
          <w:rFonts w:ascii="Arial" w:hAnsi="Arial" w:cs="Arial"/>
        </w:rPr>
      </w:pPr>
    </w:p>
    <w:p w14:paraId="5E84C20A" w14:textId="77777777" w:rsidR="00102529" w:rsidRDefault="00102529" w:rsidP="00102529">
      <w:pPr>
        <w:jc w:val="both"/>
        <w:rPr>
          <w:rFonts w:ascii="Arial" w:hAnsi="Arial" w:cs="Arial"/>
          <w:szCs w:val="20"/>
        </w:rPr>
      </w:pPr>
      <w:r w:rsidRPr="00102529">
        <w:rPr>
          <w:rFonts w:ascii="Arial" w:hAnsi="Arial" w:cs="Arial"/>
          <w:szCs w:val="20"/>
        </w:rPr>
        <w:t>Vagyonnyilatkozat-tételi kötelezettség teljesítésének ellenőrzése</w:t>
      </w:r>
    </w:p>
    <w:p w14:paraId="2614DC04" w14:textId="77777777" w:rsidR="00102529" w:rsidRPr="00102529" w:rsidRDefault="00102529" w:rsidP="00102529">
      <w:pPr>
        <w:jc w:val="both"/>
        <w:rPr>
          <w:rFonts w:ascii="Arial" w:hAnsi="Arial" w:cs="Arial"/>
          <w:bCs/>
        </w:rPr>
      </w:pPr>
    </w:p>
    <w:tbl>
      <w:tblPr>
        <w:tblW w:w="86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402"/>
        <w:gridCol w:w="2475"/>
      </w:tblGrid>
      <w:tr w:rsidR="00102529" w:rsidRPr="00B2421A" w14:paraId="0FAA8B8D" w14:textId="77777777" w:rsidTr="00102529">
        <w:trPr>
          <w:trHeight w:val="24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9494BE4" w14:textId="77777777" w:rsidR="00102529" w:rsidRPr="00102529" w:rsidRDefault="00102529" w:rsidP="00C5316E">
            <w:pPr>
              <w:spacing w:line="360" w:lineRule="auto"/>
              <w:jc w:val="center"/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</w:pPr>
            <w:r w:rsidRPr="00102529"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  <w:t>Tárgy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BF11369" w14:textId="77777777" w:rsidR="00102529" w:rsidRPr="00102529" w:rsidRDefault="00102529" w:rsidP="00C5316E">
            <w:pPr>
              <w:spacing w:line="360" w:lineRule="auto"/>
              <w:jc w:val="center"/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</w:pPr>
            <w:r w:rsidRPr="00102529"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  <w:t>Cél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A829C14" w14:textId="77777777" w:rsidR="00102529" w:rsidRPr="00102529" w:rsidRDefault="00102529" w:rsidP="00C5316E">
            <w:pPr>
              <w:spacing w:line="360" w:lineRule="auto"/>
              <w:jc w:val="both"/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</w:pPr>
            <w:r w:rsidRPr="00102529">
              <w:rPr>
                <w:rFonts w:ascii="Arial" w:eastAsia="Calibri" w:hAnsi="Arial" w:cs="Arial"/>
                <w:i/>
                <w:color w:val="0000FF"/>
                <w:sz w:val="22"/>
                <w:szCs w:val="22"/>
              </w:rPr>
              <w:t>Módszer</w:t>
            </w:r>
          </w:p>
        </w:tc>
      </w:tr>
      <w:tr w:rsidR="00102529" w14:paraId="54C22F1C" w14:textId="77777777" w:rsidTr="00102529">
        <w:trPr>
          <w:trHeight w:val="53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B8635C" w14:textId="77777777" w:rsidR="00102529" w:rsidRPr="00102529" w:rsidRDefault="00102529" w:rsidP="001025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529">
              <w:rPr>
                <w:rFonts w:ascii="Arial" w:hAnsi="Arial" w:cs="Arial"/>
                <w:sz w:val="18"/>
                <w:szCs w:val="18"/>
              </w:rPr>
              <w:t>Vagyonnyilatkozat-tételi kötelezettség teljesítésének ellenőrzése.</w:t>
            </w:r>
          </w:p>
          <w:p w14:paraId="68C890AB" w14:textId="77777777" w:rsidR="00102529" w:rsidRPr="00102529" w:rsidRDefault="00102529" w:rsidP="0010252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DE90" w14:textId="77777777" w:rsidR="00102529" w:rsidRPr="00102529" w:rsidRDefault="00102529" w:rsidP="00102529">
            <w:pPr>
              <w:autoSpaceDN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02529">
              <w:rPr>
                <w:rFonts w:ascii="Arial" w:eastAsia="Calibri" w:hAnsi="Arial" w:cs="Arial"/>
                <w:sz w:val="18"/>
                <w:szCs w:val="18"/>
              </w:rPr>
              <w:t>Annak megállapítása, hogy a vagyonnyilatkozat-tételi kötelezettség alkalmazott eljárásrendje összhangban volt-e a jogszabályi előírásokkal, belső szabályzatban foglaltakkal.</w:t>
            </w:r>
          </w:p>
          <w:p w14:paraId="79013079" w14:textId="77777777" w:rsidR="00102529" w:rsidRPr="00102529" w:rsidRDefault="00102529" w:rsidP="00C5316E">
            <w:pPr>
              <w:autoSpaceDN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7D08" w14:textId="77777777" w:rsidR="00102529" w:rsidRPr="00102529" w:rsidRDefault="00102529" w:rsidP="00C5316E">
            <w:pPr>
              <w:pStyle w:val="Nincstrkz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Dokumentumon alapuló vizsgálat.</w:t>
            </w:r>
          </w:p>
          <w:p w14:paraId="43A2651C" w14:textId="77777777" w:rsidR="00102529" w:rsidRPr="00102529" w:rsidRDefault="00102529" w:rsidP="00C5316E">
            <w:pPr>
              <w:pStyle w:val="Nincstrkz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0DCEC5" w14:textId="77777777" w:rsidR="00102529" w:rsidRPr="00102529" w:rsidRDefault="00102529" w:rsidP="00C5316E">
            <w:pPr>
              <w:pStyle w:val="Nincstrkz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963351" w14:textId="77777777" w:rsidR="00102529" w:rsidRDefault="00102529" w:rsidP="00102529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14:paraId="753B84B6" w14:textId="77777777" w:rsidR="00102529" w:rsidRDefault="00102529" w:rsidP="00102529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14:paraId="075F359A" w14:textId="77777777" w:rsidR="00102529" w:rsidRDefault="00102529" w:rsidP="00102529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14:paraId="6A98159B" w14:textId="77777777" w:rsidR="00D92CB4" w:rsidRPr="00102529" w:rsidRDefault="008F4850" w:rsidP="00102529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102529">
        <w:rPr>
          <w:rFonts w:ascii="Arial" w:hAnsi="Arial" w:cs="Arial"/>
          <w:b/>
        </w:rPr>
        <w:lastRenderedPageBreak/>
        <w:t>Elmaradt</w:t>
      </w:r>
      <w:proofErr w:type="spellEnd"/>
      <w:r w:rsidRPr="00102529">
        <w:rPr>
          <w:rFonts w:ascii="Arial" w:hAnsi="Arial" w:cs="Arial"/>
          <w:b/>
        </w:rPr>
        <w:t xml:space="preserve"> </w:t>
      </w:r>
      <w:proofErr w:type="spellStart"/>
      <w:r w:rsidRPr="00102529">
        <w:rPr>
          <w:rFonts w:ascii="Arial" w:hAnsi="Arial" w:cs="Arial"/>
          <w:b/>
        </w:rPr>
        <w:t>ellenőrzések</w:t>
      </w:r>
      <w:proofErr w:type="spellEnd"/>
      <w:r w:rsidRPr="00102529">
        <w:rPr>
          <w:rFonts w:ascii="Arial" w:hAnsi="Arial" w:cs="Arial"/>
          <w:b/>
        </w:rPr>
        <w:t xml:space="preserve">: </w:t>
      </w:r>
    </w:p>
    <w:p w14:paraId="6781D225" w14:textId="77777777" w:rsidR="008F4850" w:rsidRPr="008F4850" w:rsidRDefault="00500001" w:rsidP="00D92CB4">
      <w:pPr>
        <w:pStyle w:val="Listaszerbekezds"/>
        <w:spacing w:after="200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</w:t>
      </w:r>
      <w:r w:rsidR="00102529">
        <w:rPr>
          <w:rFonts w:ascii="Arial" w:hAnsi="Arial" w:cs="Arial"/>
        </w:rPr>
        <w:t>20</w:t>
      </w:r>
      <w:r w:rsidR="008F4850">
        <w:rPr>
          <w:rFonts w:ascii="Arial" w:hAnsi="Arial" w:cs="Arial"/>
        </w:rPr>
        <w:t xml:space="preserve">. </w:t>
      </w:r>
      <w:proofErr w:type="spellStart"/>
      <w:r w:rsidR="008F4850">
        <w:rPr>
          <w:rFonts w:ascii="Arial" w:hAnsi="Arial" w:cs="Arial"/>
        </w:rPr>
        <w:t>évi</w:t>
      </w:r>
      <w:proofErr w:type="spellEnd"/>
      <w:r w:rsidR="008B0674">
        <w:rPr>
          <w:rFonts w:ascii="Arial" w:hAnsi="Arial" w:cs="Arial"/>
        </w:rPr>
        <w:t xml:space="preserve"> </w:t>
      </w:r>
      <w:proofErr w:type="spellStart"/>
      <w:r w:rsidR="008B0674">
        <w:rPr>
          <w:rFonts w:ascii="Arial" w:hAnsi="Arial" w:cs="Arial"/>
        </w:rPr>
        <w:t>éves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belső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ellenőrzési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tervben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foglalt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valamennyi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ellenőrzés</w:t>
      </w:r>
      <w:proofErr w:type="spellEnd"/>
      <w:r w:rsidR="008F4850">
        <w:rPr>
          <w:rFonts w:ascii="Arial" w:hAnsi="Arial" w:cs="Arial"/>
        </w:rPr>
        <w:t xml:space="preserve"> </w:t>
      </w:r>
      <w:proofErr w:type="spellStart"/>
      <w:r w:rsidR="008F4850">
        <w:rPr>
          <w:rFonts w:ascii="Arial" w:hAnsi="Arial" w:cs="Arial"/>
        </w:rPr>
        <w:t>megtörtént</w:t>
      </w:r>
      <w:proofErr w:type="spellEnd"/>
      <w:r w:rsidR="008F4850">
        <w:rPr>
          <w:rFonts w:ascii="Arial" w:hAnsi="Arial" w:cs="Arial"/>
        </w:rPr>
        <w:t>.</w:t>
      </w:r>
    </w:p>
    <w:p w14:paraId="7A67B26D" w14:textId="77777777" w:rsidR="008F4850" w:rsidRDefault="008F4850" w:rsidP="008F4850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14:paraId="7734E965" w14:textId="77777777" w:rsidR="00944240" w:rsidRPr="008B0674" w:rsidRDefault="008F4850" w:rsidP="008B0674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8F4850">
        <w:rPr>
          <w:rFonts w:ascii="Arial" w:hAnsi="Arial" w:cs="Arial"/>
          <w:b/>
        </w:rPr>
        <w:t>Soron</w:t>
      </w:r>
      <w:proofErr w:type="spellEnd"/>
      <w:r w:rsidRPr="008F4850">
        <w:rPr>
          <w:rFonts w:ascii="Arial" w:hAnsi="Arial" w:cs="Arial"/>
          <w:b/>
        </w:rPr>
        <w:t xml:space="preserve"> </w:t>
      </w:r>
      <w:proofErr w:type="spellStart"/>
      <w:r w:rsidRPr="008F4850">
        <w:rPr>
          <w:rFonts w:ascii="Arial" w:hAnsi="Arial" w:cs="Arial"/>
          <w:b/>
        </w:rPr>
        <w:t>kívüli</w:t>
      </w:r>
      <w:proofErr w:type="spellEnd"/>
      <w:r w:rsidRPr="008F4850">
        <w:rPr>
          <w:rFonts w:ascii="Arial" w:hAnsi="Arial" w:cs="Arial"/>
          <w:b/>
        </w:rPr>
        <w:t xml:space="preserve"> </w:t>
      </w:r>
      <w:proofErr w:type="spellStart"/>
      <w:r w:rsidRPr="008F4850">
        <w:rPr>
          <w:rFonts w:ascii="Arial" w:hAnsi="Arial" w:cs="Arial"/>
          <w:b/>
        </w:rPr>
        <w:t>ellenőrzések</w:t>
      </w:r>
      <w:proofErr w:type="spellEnd"/>
      <w:r w:rsidRPr="008F4850">
        <w:rPr>
          <w:rFonts w:ascii="Arial" w:hAnsi="Arial" w:cs="Arial"/>
          <w:b/>
        </w:rPr>
        <w:t>:</w:t>
      </w:r>
    </w:p>
    <w:p w14:paraId="43EAB3D0" w14:textId="77777777" w:rsidR="00450C1B" w:rsidRDefault="00944240" w:rsidP="00FD7C26">
      <w:pPr>
        <w:pStyle w:val="Listaszerbekezds"/>
        <w:spacing w:after="200" w:line="276" w:lineRule="auto"/>
        <w:ind w:left="360"/>
        <w:jc w:val="both"/>
        <w:rPr>
          <w:rFonts w:ascii="Arial" w:hAnsi="Arial" w:cs="Arial"/>
        </w:rPr>
      </w:pPr>
      <w:proofErr w:type="spellStart"/>
      <w:r w:rsidRPr="00944240">
        <w:rPr>
          <w:rFonts w:ascii="Arial" w:hAnsi="Arial" w:cs="Arial"/>
        </w:rPr>
        <w:t>Soron</w:t>
      </w:r>
      <w:proofErr w:type="spellEnd"/>
      <w:r w:rsidRPr="00944240">
        <w:rPr>
          <w:rFonts w:ascii="Arial" w:hAnsi="Arial" w:cs="Arial"/>
        </w:rPr>
        <w:t xml:space="preserve"> </w:t>
      </w:r>
      <w:proofErr w:type="spellStart"/>
      <w:r w:rsidRPr="00944240">
        <w:rPr>
          <w:rFonts w:ascii="Arial" w:hAnsi="Arial" w:cs="Arial"/>
        </w:rPr>
        <w:t>kív</w:t>
      </w:r>
      <w:r w:rsidR="001318CD">
        <w:rPr>
          <w:rFonts w:ascii="Arial" w:hAnsi="Arial" w:cs="Arial"/>
        </w:rPr>
        <w:t>üli</w:t>
      </w:r>
      <w:proofErr w:type="spellEnd"/>
      <w:r w:rsidR="001318CD">
        <w:rPr>
          <w:rFonts w:ascii="Arial" w:hAnsi="Arial" w:cs="Arial"/>
        </w:rPr>
        <w:t xml:space="preserve"> </w:t>
      </w:r>
      <w:proofErr w:type="spellStart"/>
      <w:r w:rsidR="001318CD">
        <w:rPr>
          <w:rFonts w:ascii="Arial" w:hAnsi="Arial" w:cs="Arial"/>
        </w:rPr>
        <w:t>ellenőrzésre</w:t>
      </w:r>
      <w:proofErr w:type="spellEnd"/>
      <w:r w:rsidR="001318CD">
        <w:rPr>
          <w:rFonts w:ascii="Arial" w:hAnsi="Arial" w:cs="Arial"/>
        </w:rPr>
        <w:t xml:space="preserve"> </w:t>
      </w:r>
      <w:proofErr w:type="spellStart"/>
      <w:r w:rsidR="001318CD">
        <w:rPr>
          <w:rFonts w:ascii="Arial" w:hAnsi="Arial" w:cs="Arial"/>
        </w:rPr>
        <w:t>nem</w:t>
      </w:r>
      <w:proofErr w:type="spellEnd"/>
      <w:r w:rsidR="001318CD">
        <w:rPr>
          <w:rFonts w:ascii="Arial" w:hAnsi="Arial" w:cs="Arial"/>
        </w:rPr>
        <w:t xml:space="preserve"> </w:t>
      </w:r>
      <w:proofErr w:type="spellStart"/>
      <w:r w:rsidR="001318CD">
        <w:rPr>
          <w:rFonts w:ascii="Arial" w:hAnsi="Arial" w:cs="Arial"/>
        </w:rPr>
        <w:t>került</w:t>
      </w:r>
      <w:proofErr w:type="spellEnd"/>
      <w:r w:rsidR="001318CD">
        <w:rPr>
          <w:rFonts w:ascii="Arial" w:hAnsi="Arial" w:cs="Arial"/>
        </w:rPr>
        <w:t xml:space="preserve"> </w:t>
      </w:r>
      <w:proofErr w:type="spellStart"/>
      <w:r w:rsidR="001318CD">
        <w:rPr>
          <w:rFonts w:ascii="Arial" w:hAnsi="Arial" w:cs="Arial"/>
        </w:rPr>
        <w:t>sor</w:t>
      </w:r>
      <w:proofErr w:type="spellEnd"/>
      <w:r w:rsidR="00FD7C26">
        <w:rPr>
          <w:rFonts w:ascii="Arial" w:hAnsi="Arial" w:cs="Arial"/>
        </w:rPr>
        <w:t>.</w:t>
      </w:r>
    </w:p>
    <w:p w14:paraId="1E01109A" w14:textId="77777777" w:rsidR="00450C1B" w:rsidRPr="00C368D3" w:rsidRDefault="00450C1B" w:rsidP="00944240">
      <w:pPr>
        <w:pStyle w:val="Listaszerbekezds"/>
        <w:spacing w:after="200" w:line="276" w:lineRule="auto"/>
        <w:ind w:left="0"/>
        <w:jc w:val="both"/>
        <w:rPr>
          <w:rFonts w:ascii="Arial" w:hAnsi="Arial" w:cs="Arial"/>
        </w:rPr>
      </w:pPr>
    </w:p>
    <w:p w14:paraId="29E695D9" w14:textId="77777777" w:rsidR="00D92CB4" w:rsidRPr="008B0674" w:rsidRDefault="008F4850" w:rsidP="008B0674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476CD3">
        <w:rPr>
          <w:rFonts w:ascii="Arial" w:hAnsi="Arial" w:cs="Arial"/>
          <w:b/>
        </w:rPr>
        <w:t>Terven</w:t>
      </w:r>
      <w:proofErr w:type="spellEnd"/>
      <w:r w:rsidRPr="00476CD3">
        <w:rPr>
          <w:rFonts w:ascii="Arial" w:hAnsi="Arial" w:cs="Arial"/>
          <w:b/>
        </w:rPr>
        <w:t xml:space="preserve"> </w:t>
      </w:r>
      <w:proofErr w:type="spellStart"/>
      <w:r w:rsidRPr="00476CD3">
        <w:rPr>
          <w:rFonts w:ascii="Arial" w:hAnsi="Arial" w:cs="Arial"/>
          <w:b/>
        </w:rPr>
        <w:t>felüli</w:t>
      </w:r>
      <w:proofErr w:type="spellEnd"/>
      <w:r w:rsidRPr="00476CD3">
        <w:rPr>
          <w:rFonts w:ascii="Arial" w:hAnsi="Arial" w:cs="Arial"/>
          <w:b/>
        </w:rPr>
        <w:t xml:space="preserve"> </w:t>
      </w:r>
      <w:proofErr w:type="spellStart"/>
      <w:r w:rsidRPr="00476CD3">
        <w:rPr>
          <w:rFonts w:ascii="Arial" w:hAnsi="Arial" w:cs="Arial"/>
          <w:b/>
        </w:rPr>
        <w:t>ellenőrzések</w:t>
      </w:r>
      <w:proofErr w:type="spellEnd"/>
      <w:r w:rsidR="00C368D3">
        <w:rPr>
          <w:rFonts w:ascii="Arial" w:hAnsi="Arial" w:cs="Arial"/>
          <w:b/>
        </w:rPr>
        <w:t>:</w:t>
      </w:r>
    </w:p>
    <w:p w14:paraId="0E0F7EA0" w14:textId="77777777" w:rsidR="00BB7BB6" w:rsidRPr="008B0674" w:rsidRDefault="00C368D3" w:rsidP="008B0674">
      <w:pPr>
        <w:pStyle w:val="Listaszerbekezds"/>
        <w:spacing w:after="200" w:line="276" w:lineRule="auto"/>
        <w:ind w:left="360"/>
        <w:jc w:val="both"/>
        <w:rPr>
          <w:rFonts w:ascii="Arial" w:hAnsi="Arial" w:cs="Arial"/>
        </w:rPr>
      </w:pPr>
      <w:proofErr w:type="spellStart"/>
      <w:r w:rsidRPr="00C368D3">
        <w:rPr>
          <w:rFonts w:ascii="Arial" w:hAnsi="Arial" w:cs="Arial"/>
        </w:rPr>
        <w:t>Terven</w:t>
      </w:r>
      <w:proofErr w:type="spellEnd"/>
      <w:r w:rsidRPr="00C368D3">
        <w:rPr>
          <w:rFonts w:ascii="Arial" w:hAnsi="Arial" w:cs="Arial"/>
        </w:rPr>
        <w:t xml:space="preserve"> </w:t>
      </w:r>
      <w:proofErr w:type="spellStart"/>
      <w:r w:rsidRPr="00C368D3">
        <w:rPr>
          <w:rFonts w:ascii="Arial" w:hAnsi="Arial" w:cs="Arial"/>
        </w:rPr>
        <w:t>felüli</w:t>
      </w:r>
      <w:proofErr w:type="spellEnd"/>
      <w:r w:rsidRPr="00C368D3">
        <w:rPr>
          <w:rFonts w:ascii="Arial" w:hAnsi="Arial" w:cs="Arial"/>
        </w:rPr>
        <w:t xml:space="preserve"> </w:t>
      </w:r>
      <w:proofErr w:type="spellStart"/>
      <w:r w:rsidRPr="00C368D3">
        <w:rPr>
          <w:rFonts w:ascii="Arial" w:hAnsi="Arial" w:cs="Arial"/>
        </w:rPr>
        <w:t>ellenőrzésre</w:t>
      </w:r>
      <w:proofErr w:type="spellEnd"/>
      <w:r w:rsidRPr="00C368D3">
        <w:rPr>
          <w:rFonts w:ascii="Arial" w:hAnsi="Arial" w:cs="Arial"/>
        </w:rPr>
        <w:t xml:space="preserve"> </w:t>
      </w:r>
      <w:proofErr w:type="spellStart"/>
      <w:r w:rsidRPr="00C368D3">
        <w:rPr>
          <w:rFonts w:ascii="Arial" w:hAnsi="Arial" w:cs="Arial"/>
        </w:rPr>
        <w:t>nem</w:t>
      </w:r>
      <w:proofErr w:type="spellEnd"/>
      <w:r w:rsidRPr="00C368D3">
        <w:rPr>
          <w:rFonts w:ascii="Arial" w:hAnsi="Arial" w:cs="Arial"/>
        </w:rPr>
        <w:t xml:space="preserve"> </w:t>
      </w:r>
      <w:proofErr w:type="spellStart"/>
      <w:r w:rsidRPr="00C368D3">
        <w:rPr>
          <w:rFonts w:ascii="Arial" w:hAnsi="Arial" w:cs="Arial"/>
        </w:rPr>
        <w:t>került</w:t>
      </w:r>
      <w:proofErr w:type="spellEnd"/>
      <w:r w:rsidRPr="00C368D3">
        <w:rPr>
          <w:rFonts w:ascii="Arial" w:hAnsi="Arial" w:cs="Arial"/>
        </w:rPr>
        <w:t xml:space="preserve"> </w:t>
      </w:r>
      <w:proofErr w:type="spellStart"/>
      <w:r w:rsidRPr="00C368D3">
        <w:rPr>
          <w:rFonts w:ascii="Arial" w:hAnsi="Arial" w:cs="Arial"/>
        </w:rPr>
        <w:t>sor</w:t>
      </w:r>
      <w:proofErr w:type="spellEnd"/>
      <w:r w:rsidRPr="00C368D3">
        <w:rPr>
          <w:rFonts w:ascii="Arial" w:hAnsi="Arial" w:cs="Arial"/>
        </w:rPr>
        <w:t>.</w:t>
      </w:r>
    </w:p>
    <w:p w14:paraId="03797CF9" w14:textId="77777777" w:rsidR="00A6621D" w:rsidRPr="00B2421A" w:rsidRDefault="00A6621D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3" w:name="_Toc345230275"/>
      <w:r w:rsidRPr="00B2421A">
        <w:rPr>
          <w:rFonts w:ascii="Bookman Old Style" w:eastAsia="Calibri" w:hAnsi="Bookman Old Style" w:cs="Calibri"/>
          <w:sz w:val="22"/>
          <w:szCs w:val="22"/>
        </w:rPr>
        <w:t>Az ellenőrzések során büntető-, szabálysértési, kártérítési, illetve fegyelmi eljárás megindítására okot adó cselekmény, mulasztás vagy hiányosság gyanúja kapcsán tett jelentések száma és rövid összefoglalása</w:t>
      </w:r>
      <w:bookmarkEnd w:id="3"/>
    </w:p>
    <w:p w14:paraId="66BBFC73" w14:textId="77777777" w:rsidR="00E86417" w:rsidRDefault="00E86417" w:rsidP="00E86417">
      <w:pPr>
        <w:ind w:left="450"/>
        <w:jc w:val="both"/>
        <w:rPr>
          <w:rFonts w:ascii="Arial" w:hAnsi="Arial" w:cs="Arial"/>
        </w:rPr>
      </w:pPr>
    </w:p>
    <w:p w14:paraId="54D0B71F" w14:textId="77777777" w:rsidR="00E86417" w:rsidRPr="00614B2D" w:rsidRDefault="00E86417" w:rsidP="00E86417">
      <w:pPr>
        <w:ind w:left="450"/>
        <w:jc w:val="both"/>
        <w:rPr>
          <w:rFonts w:ascii="Bookman Old Style" w:hAnsi="Bookman Old Style" w:cs="Arial"/>
        </w:rPr>
      </w:pPr>
      <w:r w:rsidRPr="00614B2D">
        <w:rPr>
          <w:rFonts w:ascii="Bookman Old Style" w:hAnsi="Bookman Old Style" w:cs="Arial"/>
        </w:rPr>
        <w:t>Eljárás megindítására okot adó cselekmény, mulasztás vagy hiányosság az ell</w:t>
      </w:r>
      <w:r w:rsidR="00614B2D">
        <w:rPr>
          <w:rFonts w:ascii="Bookman Old Style" w:hAnsi="Bookman Old Style" w:cs="Arial"/>
        </w:rPr>
        <w:t>enőrzött területte</w:t>
      </w:r>
      <w:r w:rsidRPr="00614B2D">
        <w:rPr>
          <w:rFonts w:ascii="Bookman Old Style" w:hAnsi="Bookman Old Style" w:cs="Arial"/>
        </w:rPr>
        <w:t>l kapcsolatban nem merült fel.</w:t>
      </w:r>
    </w:p>
    <w:p w14:paraId="660DF6F4" w14:textId="77777777" w:rsidR="00A6621D" w:rsidRPr="00B2421A" w:rsidRDefault="00A6621D" w:rsidP="00B2421A">
      <w:pPr>
        <w:spacing w:line="360" w:lineRule="auto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334"/>
        <w:gridCol w:w="2682"/>
        <w:gridCol w:w="2324"/>
      </w:tblGrid>
      <w:tr w:rsidR="00A6621D" w:rsidRPr="00B2421A" w14:paraId="52DC9D01" w14:textId="77777777">
        <w:trPr>
          <w:jc w:val="center"/>
        </w:trPr>
        <w:tc>
          <w:tcPr>
            <w:tcW w:w="1728" w:type="dxa"/>
            <w:shd w:val="clear" w:color="auto" w:fill="D9D9D9"/>
          </w:tcPr>
          <w:p w14:paraId="40C7CE8D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Ellenőrzés tárgya</w:t>
            </w:r>
          </w:p>
        </w:tc>
        <w:tc>
          <w:tcPr>
            <w:tcW w:w="2340" w:type="dxa"/>
            <w:shd w:val="clear" w:color="auto" w:fill="D9D9D9"/>
          </w:tcPr>
          <w:p w14:paraId="4C4BBDE1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Ellenőrzés során tett megállapítás(ok)</w:t>
            </w:r>
          </w:p>
        </w:tc>
        <w:tc>
          <w:tcPr>
            <w:tcW w:w="2700" w:type="dxa"/>
            <w:shd w:val="clear" w:color="auto" w:fill="D9D9D9"/>
          </w:tcPr>
          <w:p w14:paraId="10C04598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Esettípus</w:t>
            </w:r>
          </w:p>
        </w:tc>
        <w:tc>
          <w:tcPr>
            <w:tcW w:w="2340" w:type="dxa"/>
            <w:shd w:val="clear" w:color="auto" w:fill="D9D9D9"/>
          </w:tcPr>
          <w:p w14:paraId="3B3A9E6D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Státusz</w:t>
            </w:r>
          </w:p>
        </w:tc>
      </w:tr>
      <w:tr w:rsidR="00A6621D" w:rsidRPr="00B2421A" w14:paraId="0058A6E6" w14:textId="77777777">
        <w:trPr>
          <w:jc w:val="center"/>
        </w:trPr>
        <w:tc>
          <w:tcPr>
            <w:tcW w:w="1728" w:type="dxa"/>
          </w:tcPr>
          <w:p w14:paraId="74800E4B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B158C4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1A74B6C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051739" w14:textId="77777777" w:rsidR="00A6621D" w:rsidRPr="00B2421A" w:rsidRDefault="00A6621D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</w:p>
        </w:tc>
      </w:tr>
    </w:tbl>
    <w:p w14:paraId="64078594" w14:textId="77777777" w:rsidR="00A6621D" w:rsidRPr="00B2421A" w:rsidRDefault="00A6621D" w:rsidP="00B2421A">
      <w:pPr>
        <w:spacing w:line="360" w:lineRule="auto"/>
        <w:rPr>
          <w:rFonts w:ascii="Bookman Old Style" w:hAnsi="Bookman Old Style"/>
        </w:rPr>
      </w:pPr>
    </w:p>
    <w:p w14:paraId="0F9C73EC" w14:textId="77777777" w:rsidR="00A6621D" w:rsidRPr="00B2421A" w:rsidRDefault="00A6621D" w:rsidP="00FC394B">
      <w:pPr>
        <w:numPr>
          <w:ilvl w:val="1"/>
          <w:numId w:val="1"/>
        </w:numPr>
        <w:spacing w:line="360" w:lineRule="auto"/>
        <w:jc w:val="both"/>
        <w:outlineLvl w:val="1"/>
        <w:rPr>
          <w:rFonts w:ascii="Bookman Old Style" w:hAnsi="Bookman Old Style" w:cs="Arial"/>
        </w:rPr>
      </w:pPr>
      <w:bookmarkStart w:id="4" w:name="_Toc345230276"/>
      <w:r w:rsidRPr="00B2421A">
        <w:rPr>
          <w:rFonts w:ascii="Bookman Old Style" w:eastAsia="Calibri" w:hAnsi="Bookman Old Style" w:cs="Calibri"/>
          <w:sz w:val="22"/>
          <w:szCs w:val="22"/>
        </w:rPr>
        <w:t>A bizonyosságot adó tevékenységet elősegítő és akadályozó tényezők bemutatása</w:t>
      </w:r>
      <w:bookmarkEnd w:id="4"/>
    </w:p>
    <w:p w14:paraId="0017D332" w14:textId="77777777" w:rsidR="00B2421A" w:rsidRPr="00B2421A" w:rsidRDefault="00B2421A" w:rsidP="00B2421A">
      <w:pPr>
        <w:jc w:val="both"/>
        <w:rPr>
          <w:rFonts w:ascii="Bookman Old Style" w:eastAsia="Calibri" w:hAnsi="Bookman Old Style" w:cs="Calibri"/>
          <w:color w:val="0000FF"/>
          <w:sz w:val="22"/>
          <w:szCs w:val="22"/>
        </w:rPr>
      </w:pPr>
    </w:p>
    <w:p w14:paraId="2D0DC9F5" w14:textId="77777777" w:rsidR="00A6621D" w:rsidRPr="00102529" w:rsidRDefault="00A6621D" w:rsidP="00B2421A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5" w:name="_Toc345230277"/>
      <w:r w:rsidRPr="00B2421A">
        <w:rPr>
          <w:rFonts w:ascii="Bookman Old Style" w:eastAsia="Calibri" w:hAnsi="Bookman Old Style" w:cs="Calibri"/>
          <w:sz w:val="22"/>
          <w:szCs w:val="22"/>
        </w:rPr>
        <w:t>A belső ellenőrzési egység(ek) humánerőforrás-ellátottsága</w:t>
      </w:r>
      <w:bookmarkEnd w:id="5"/>
    </w:p>
    <w:p w14:paraId="0509769A" w14:textId="77777777" w:rsidR="00C513AE" w:rsidRDefault="00C513AE" w:rsidP="00C513AE">
      <w:pPr>
        <w:jc w:val="both"/>
        <w:rPr>
          <w:rFonts w:ascii="Arial" w:eastAsia="Calibri" w:hAnsi="Arial" w:cs="Arial"/>
        </w:rPr>
      </w:pPr>
      <w:r w:rsidRPr="00FD5A83">
        <w:rPr>
          <w:rFonts w:ascii="Arial" w:hAnsi="Arial" w:cs="Arial"/>
        </w:rPr>
        <w:t xml:space="preserve">A belső ellenőrzési feladatokat a </w:t>
      </w:r>
      <w:r>
        <w:rPr>
          <w:rFonts w:ascii="Arial" w:hAnsi="Arial" w:cs="Arial"/>
        </w:rPr>
        <w:t xml:space="preserve">Móri Polgármesteri Hivatal </w:t>
      </w:r>
      <w:r w:rsidRPr="00FD5A83">
        <w:rPr>
          <w:rFonts w:ascii="Arial" w:hAnsi="Arial" w:cs="Arial"/>
        </w:rPr>
        <w:t>szervezeti egységén belül köztisztviselői jogviszonyban foglalkoztatott függetlenített belső ellenőr</w:t>
      </w:r>
      <w:r>
        <w:rPr>
          <w:rFonts w:ascii="Arial" w:hAnsi="Arial" w:cs="Arial"/>
        </w:rPr>
        <w:t>e</w:t>
      </w:r>
      <w:r w:rsidRPr="00FD5A83">
        <w:rPr>
          <w:rFonts w:ascii="Arial" w:hAnsi="Arial" w:cs="Arial"/>
        </w:rPr>
        <w:t xml:space="preserve"> lát</w:t>
      </w:r>
      <w:r w:rsidR="00522C46">
        <w:rPr>
          <w:rFonts w:ascii="Arial" w:hAnsi="Arial" w:cs="Arial"/>
        </w:rPr>
        <w:t>ta el 2020.10.22. napjáig</w:t>
      </w:r>
      <w:r w:rsidRPr="00FD5A83">
        <w:rPr>
          <w:rFonts w:ascii="Arial" w:hAnsi="Arial" w:cs="Arial"/>
        </w:rPr>
        <w:t xml:space="preserve"> </w:t>
      </w:r>
      <w:r w:rsidR="00BF08BF">
        <w:rPr>
          <w:rFonts w:ascii="Arial" w:hAnsi="Arial" w:cs="Arial"/>
        </w:rPr>
        <w:t>a Mór Városi Önkormányzat Képvise</w:t>
      </w:r>
      <w:r w:rsidR="00A2338E">
        <w:rPr>
          <w:rFonts w:ascii="Arial" w:hAnsi="Arial" w:cs="Arial"/>
        </w:rPr>
        <w:t>lő-testülete által elfogadott (</w:t>
      </w:r>
      <w:r w:rsidR="00F12B43">
        <w:rPr>
          <w:rFonts w:ascii="Arial" w:hAnsi="Arial" w:cs="Arial"/>
        </w:rPr>
        <w:t>1</w:t>
      </w:r>
      <w:r w:rsidR="00693AC9">
        <w:rPr>
          <w:rFonts w:ascii="Arial" w:hAnsi="Arial" w:cs="Arial"/>
        </w:rPr>
        <w:t>5/2020</w:t>
      </w:r>
      <w:r w:rsidR="00BF08BF">
        <w:rPr>
          <w:rFonts w:ascii="Arial" w:hAnsi="Arial" w:cs="Arial"/>
        </w:rPr>
        <w:t>. (I.</w:t>
      </w:r>
      <w:r w:rsidR="00693AC9">
        <w:rPr>
          <w:rFonts w:ascii="Arial" w:hAnsi="Arial" w:cs="Arial"/>
        </w:rPr>
        <w:t>29</w:t>
      </w:r>
      <w:r w:rsidR="00BF08BF">
        <w:rPr>
          <w:rFonts w:ascii="Arial" w:hAnsi="Arial" w:cs="Arial"/>
        </w:rPr>
        <w:t>.</w:t>
      </w:r>
      <w:proofErr w:type="gramStart"/>
      <w:r w:rsidR="00BF08BF">
        <w:rPr>
          <w:rFonts w:ascii="Arial" w:hAnsi="Arial" w:cs="Arial"/>
        </w:rPr>
        <w:t>)  sz.</w:t>
      </w:r>
      <w:proofErr w:type="gramEnd"/>
      <w:r w:rsidR="00BF08BF">
        <w:rPr>
          <w:rFonts w:ascii="Arial" w:hAnsi="Arial" w:cs="Arial"/>
        </w:rPr>
        <w:t xml:space="preserve"> K</w:t>
      </w:r>
      <w:r w:rsidR="00895C67">
        <w:rPr>
          <w:rFonts w:ascii="Arial" w:hAnsi="Arial" w:cs="Arial"/>
        </w:rPr>
        <w:t>t</w:t>
      </w:r>
      <w:r w:rsidR="00BF08BF">
        <w:rPr>
          <w:rFonts w:ascii="Arial" w:hAnsi="Arial" w:cs="Arial"/>
        </w:rPr>
        <w:t>. hat. ) együttműködési megállapodás alapján</w:t>
      </w:r>
      <w:r w:rsidRPr="00FD5A83">
        <w:rPr>
          <w:rFonts w:ascii="Arial" w:hAnsi="Arial" w:cs="Arial"/>
        </w:rPr>
        <w:t>. A belső ellenőr a költségvetési szerveknél belső ellenőrzési tevékenységet végzők nyilvántartásáról és kötelező szakmai továbbképzéséről szóló 18/2009. (X.6.) PM rendelet</w:t>
      </w:r>
      <w:r>
        <w:rPr>
          <w:rFonts w:ascii="Arial" w:hAnsi="Arial" w:cs="Arial"/>
        </w:rPr>
        <w:t xml:space="preserve"> (2011.08.04. napjától hatályát vesztette), a 28/2011. (VIII.3.) NGM rendelet </w:t>
      </w:r>
      <w:r w:rsidRPr="00FD5A83">
        <w:rPr>
          <w:rFonts w:ascii="Arial" w:hAnsi="Arial" w:cs="Arial"/>
        </w:rPr>
        <w:t>alapján a</w:t>
      </w:r>
      <w:r w:rsidR="00AA5AD2">
        <w:rPr>
          <w:rFonts w:ascii="Arial" w:hAnsi="Arial" w:cs="Arial"/>
        </w:rPr>
        <w:t>z államháztartásért felelős miniszter</w:t>
      </w:r>
      <w:r w:rsidRPr="00FD5A83">
        <w:rPr>
          <w:rFonts w:ascii="Arial" w:hAnsi="Arial" w:cs="Arial"/>
        </w:rPr>
        <w:t xml:space="preserve"> által vezetett hatósági nyilvántartásba</w:t>
      </w:r>
      <w:r w:rsidR="00B80B3C">
        <w:rPr>
          <w:rFonts w:ascii="Arial" w:hAnsi="Arial" w:cs="Arial"/>
        </w:rPr>
        <w:t>,</w:t>
      </w:r>
      <w:r w:rsidRPr="00FD5A83">
        <w:rPr>
          <w:rFonts w:ascii="Arial" w:hAnsi="Arial" w:cs="Arial"/>
        </w:rPr>
        <w:t xml:space="preserve"> regisztrálásra került, és a költségvetési szerveknél belső ellenőrzési tevékenység folytatásához szükséges engedéllyel rendelkezik.</w:t>
      </w:r>
      <w:r w:rsidRPr="00FD5A83">
        <w:rPr>
          <w:rFonts w:ascii="Arial" w:eastAsia="Calibri" w:hAnsi="Arial" w:cs="Arial"/>
          <w:sz w:val="22"/>
          <w:szCs w:val="22"/>
        </w:rPr>
        <w:t xml:space="preserve"> </w:t>
      </w:r>
      <w:r w:rsidRPr="00FD5A83">
        <w:rPr>
          <w:rFonts w:ascii="Arial" w:hAnsi="Arial" w:cs="Arial"/>
        </w:rPr>
        <w:t xml:space="preserve">A belső ellenőr </w:t>
      </w:r>
      <w:r>
        <w:rPr>
          <w:rFonts w:ascii="Arial" w:eastAsia="Calibri" w:hAnsi="Arial" w:cs="Arial"/>
        </w:rPr>
        <w:t xml:space="preserve">az </w:t>
      </w:r>
      <w:r w:rsidRPr="00CB3404">
        <w:rPr>
          <w:rFonts w:ascii="Arial" w:eastAsia="Calibri" w:hAnsi="Arial" w:cs="Arial"/>
        </w:rPr>
        <w:t>Áht. 70.§ (4)-(5) b</w:t>
      </w:r>
      <w:r>
        <w:rPr>
          <w:rFonts w:ascii="Arial" w:eastAsia="Calibri" w:hAnsi="Arial" w:cs="Arial"/>
        </w:rPr>
        <w:t>ekezdésében előírt engedéllyel rendelkezik.</w:t>
      </w:r>
    </w:p>
    <w:p w14:paraId="5717B4B5" w14:textId="77777777" w:rsidR="00C513AE" w:rsidRDefault="00C513AE" w:rsidP="00C513AE">
      <w:pPr>
        <w:jc w:val="both"/>
        <w:rPr>
          <w:rFonts w:ascii="Arial" w:eastAsia="Calibri" w:hAnsi="Arial" w:cs="Arial"/>
        </w:rPr>
      </w:pPr>
    </w:p>
    <w:p w14:paraId="437C5786" w14:textId="77777777" w:rsidR="00522C46" w:rsidRDefault="00522C46" w:rsidP="00522C46">
      <w:pPr>
        <w:jc w:val="both"/>
        <w:rPr>
          <w:rFonts w:ascii="Arial" w:hAnsi="Arial" w:cs="Arial"/>
        </w:rPr>
      </w:pPr>
      <w:bookmarkStart w:id="6" w:name="_Toc345230278"/>
      <w:r>
        <w:rPr>
          <w:rFonts w:ascii="Arial" w:hAnsi="Arial" w:cs="Arial"/>
        </w:rPr>
        <w:t xml:space="preserve">A Nemzeti Adó- és Vámhivatal Képzési, Egészségügyi és Kulturális Intézete az ÁBPE MKK keretében biztosítja a jogszabályban előírt továbbképzési lehetőségeket. </w:t>
      </w:r>
    </w:p>
    <w:p w14:paraId="14368C5E" w14:textId="77777777" w:rsidR="00522C46" w:rsidRDefault="00522C46" w:rsidP="00522C46">
      <w:pPr>
        <w:jc w:val="both"/>
        <w:rPr>
          <w:rFonts w:ascii="Arial" w:hAnsi="Arial" w:cs="Arial"/>
        </w:rPr>
      </w:pPr>
    </w:p>
    <w:p w14:paraId="0BB3C014" w14:textId="77777777" w:rsidR="00522C46" w:rsidRDefault="00522C46" w:rsidP="00522C4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2020. évben teljesített továbbképzés az ÁBPE MKK keretében:</w:t>
      </w:r>
    </w:p>
    <w:p w14:paraId="09DC6F26" w14:textId="77777777" w:rsidR="00522C46" w:rsidRDefault="00522C46" w:rsidP="00522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20IIBUDASZBE-01 - ÁBPE-továbbképzés II. - Államháztartási Számvitel </w:t>
      </w:r>
    </w:p>
    <w:p w14:paraId="68A0BAE7" w14:textId="77777777" w:rsidR="00522C46" w:rsidRDefault="00522C46" w:rsidP="00522C46">
      <w:pPr>
        <w:jc w:val="both"/>
        <w:rPr>
          <w:rFonts w:ascii="Arial" w:hAnsi="Arial" w:cs="Arial"/>
        </w:rPr>
      </w:pPr>
    </w:p>
    <w:p w14:paraId="792F0F4C" w14:textId="77777777" w:rsidR="00522C46" w:rsidRDefault="00522C46" w:rsidP="00522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Egyéb képzések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 könyviteli szogláltatást végzők kötelező szakmai továbbképzése (mérlegképes könyvelői továbbképzés)</w:t>
      </w:r>
    </w:p>
    <w:p w14:paraId="1D6ADF95" w14:textId="77777777" w:rsidR="00522C46" w:rsidRDefault="00522C46" w:rsidP="00522C46">
      <w:pPr>
        <w:jc w:val="both"/>
        <w:rPr>
          <w:rFonts w:ascii="Arial" w:eastAsia="Calibri" w:hAnsi="Arial" w:cs="Arial"/>
          <w:u w:val="single"/>
        </w:rPr>
      </w:pPr>
    </w:p>
    <w:p w14:paraId="28100C1B" w14:textId="77777777" w:rsidR="00522C46" w:rsidRDefault="00522C46" w:rsidP="00522C46">
      <w:pPr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Kötelező szakmai továbbképzés:</w:t>
      </w:r>
    </w:p>
    <w:p w14:paraId="0AAD2B66" w14:textId="77777777" w:rsidR="00522C46" w:rsidRDefault="00522C46" w:rsidP="00522C4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Nemzeti Közszolgálati Egyetem Vezető- és Továbbképző Intézete </w:t>
      </w:r>
    </w:p>
    <w:p w14:paraId="30669563" w14:textId="77777777" w:rsidR="00522C46" w:rsidRDefault="00522C46" w:rsidP="00522C46">
      <w:pPr>
        <w:numPr>
          <w:ilvl w:val="0"/>
          <w:numId w:val="1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Bevezetés a gazdaságpolitikába</w:t>
      </w:r>
    </w:p>
    <w:p w14:paraId="6A7DCCAE" w14:textId="77777777" w:rsidR="00522C46" w:rsidRDefault="00522C46" w:rsidP="00522C46">
      <w:pPr>
        <w:numPr>
          <w:ilvl w:val="0"/>
          <w:numId w:val="1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Költségvetési szervezetek gazdálkodása: az eredményesség, a gazdaságosság és a hatékonyság (Gazdálkodási mozaik)</w:t>
      </w:r>
    </w:p>
    <w:p w14:paraId="7722279E" w14:textId="77777777" w:rsidR="00522C46" w:rsidRDefault="00522C46" w:rsidP="00522C46">
      <w:pPr>
        <w:numPr>
          <w:ilvl w:val="0"/>
          <w:numId w:val="1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 az elektronikus hitelesség</w:t>
      </w:r>
    </w:p>
    <w:p w14:paraId="7456D4A0" w14:textId="77777777" w:rsidR="00522C46" w:rsidRDefault="00522C46" w:rsidP="00522C46">
      <w:pPr>
        <w:numPr>
          <w:ilvl w:val="0"/>
          <w:numId w:val="1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Integritás az emberierőforrás-gazdálkodásban</w:t>
      </w:r>
    </w:p>
    <w:p w14:paraId="4228049F" w14:textId="77777777" w:rsidR="00522C46" w:rsidRDefault="00522C46" w:rsidP="00522C46">
      <w:pPr>
        <w:jc w:val="both"/>
        <w:rPr>
          <w:rFonts w:ascii="Arial" w:eastAsia="Calibri" w:hAnsi="Arial" w:cs="Arial"/>
        </w:rPr>
      </w:pPr>
    </w:p>
    <w:p w14:paraId="14462367" w14:textId="77777777" w:rsidR="00522C46" w:rsidRDefault="00522C46" w:rsidP="00522C4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2020. október 01 napjától határozott idejű megbízási szerződéssel külső szolgáltató igénybevételével kerültek ellátásra a belső ellenőrzési feladatok. A megbízott belső ellenőr a költségvetési szerveknél belső ellenőrzési tevékenységet végzők nyilvántartásáról és kötelező szakmai továbbképzéséről szóló 18/2009. (X.6.) PM rendelet (2011.08.04. napjától hatályát vesztette) valamint a 28/2011. (VIII.3.) NGM rendelet alapján az államháztartásért felelős miniszter által vezetett hatósági nyilvántartásba regisztrálásra került, és a költségvetési szerveknél belső ellenőrzési tevékenység folytatásához szükséges engedéllyel rendelkezik. A megbízott belső ellenőr az Áht. 70.§ (4)-(5) bekezdésében előírt engedéllyel rendelkezik.</w:t>
      </w:r>
    </w:p>
    <w:p w14:paraId="61C8DF83" w14:textId="77777777" w:rsidR="00522C46" w:rsidRDefault="00522C46" w:rsidP="00522C46">
      <w:pPr>
        <w:jc w:val="both"/>
        <w:rPr>
          <w:rFonts w:ascii="Arial" w:eastAsia="Calibri" w:hAnsi="Arial" w:cs="Arial"/>
        </w:rPr>
      </w:pPr>
    </w:p>
    <w:p w14:paraId="72338E29" w14:textId="77777777" w:rsidR="00A6621D" w:rsidRPr="00522C46" w:rsidRDefault="00A6621D" w:rsidP="00B2421A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r w:rsidRPr="00B2421A">
        <w:rPr>
          <w:rFonts w:ascii="Bookman Old Style" w:eastAsia="Calibri" w:hAnsi="Bookman Old Style" w:cs="Calibri"/>
          <w:sz w:val="22"/>
          <w:szCs w:val="22"/>
        </w:rPr>
        <w:t>A belső ellenőrzési egység és a belső ellenőrök szervezeti és funkcionális függetlenségének biztosítása</w:t>
      </w:r>
      <w:bookmarkEnd w:id="6"/>
    </w:p>
    <w:p w14:paraId="3EE1B87A" w14:textId="77777777" w:rsidR="00C513AE" w:rsidRDefault="00C513AE" w:rsidP="00C513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F63A5A">
        <w:rPr>
          <w:rFonts w:ascii="Arial" w:hAnsi="Arial" w:cs="Arial"/>
          <w:color w:val="000000"/>
        </w:rPr>
        <w:t xml:space="preserve"> belső ellenőri feladatok ellátása a </w:t>
      </w:r>
      <w:r>
        <w:rPr>
          <w:rFonts w:ascii="Arial" w:hAnsi="Arial" w:cs="Arial"/>
          <w:color w:val="000000"/>
        </w:rPr>
        <w:t xml:space="preserve">Móri </w:t>
      </w:r>
      <w:r w:rsidRPr="00F63A5A">
        <w:rPr>
          <w:rFonts w:ascii="Arial" w:hAnsi="Arial" w:cs="Arial"/>
          <w:color w:val="000000"/>
        </w:rPr>
        <w:t xml:space="preserve">Polgármesteri Hivatal szervezeti egységén belül </w:t>
      </w:r>
      <w:proofErr w:type="gramStart"/>
      <w:r w:rsidRPr="00F63A5A">
        <w:rPr>
          <w:rFonts w:ascii="Arial" w:hAnsi="Arial" w:cs="Arial"/>
          <w:color w:val="000000"/>
        </w:rPr>
        <w:t>foglalkoztatott belső ellenőr</w:t>
      </w:r>
      <w:r w:rsidR="00522C46">
        <w:rPr>
          <w:rFonts w:ascii="Arial" w:hAnsi="Arial" w:cs="Arial"/>
          <w:color w:val="000000"/>
        </w:rPr>
        <w:t>,</w:t>
      </w:r>
      <w:proofErr w:type="gramEnd"/>
      <w:r w:rsidR="00522C46">
        <w:rPr>
          <w:rFonts w:ascii="Arial" w:hAnsi="Arial" w:cs="Arial"/>
          <w:color w:val="000000"/>
        </w:rPr>
        <w:t xml:space="preserve"> és megbízott belső ellenőr alkalmazásával történt</w:t>
      </w:r>
      <w:r w:rsidRPr="00F63A5A">
        <w:rPr>
          <w:rFonts w:ascii="Arial" w:hAnsi="Arial" w:cs="Arial"/>
          <w:color w:val="000000"/>
        </w:rPr>
        <w:t>. A belső ellenőrzés helye a szervezeti hierarch</w:t>
      </w:r>
      <w:r>
        <w:rPr>
          <w:rFonts w:ascii="Arial" w:hAnsi="Arial" w:cs="Arial"/>
          <w:color w:val="000000"/>
        </w:rPr>
        <w:t>iában megfelelő, a funkcionális függetlensége biztosított.</w:t>
      </w:r>
    </w:p>
    <w:p w14:paraId="746EE447" w14:textId="77777777" w:rsidR="00C513AE" w:rsidRDefault="00C513AE" w:rsidP="00C513AE">
      <w:pPr>
        <w:jc w:val="both"/>
        <w:rPr>
          <w:rFonts w:ascii="Arial" w:hAnsi="Arial" w:cs="Arial"/>
          <w:color w:val="000000"/>
        </w:rPr>
      </w:pPr>
      <w:r w:rsidRPr="00DF248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Bkr. 19.§ (1) a belső ellenőr</w:t>
      </w:r>
      <w:r w:rsidRPr="00DF248C">
        <w:rPr>
          <w:rFonts w:ascii="Arial" w:hAnsi="Arial" w:cs="Arial"/>
          <w:color w:val="000000"/>
        </w:rPr>
        <w:t xml:space="preserve"> f</w:t>
      </w:r>
      <w:r w:rsidR="00522C46">
        <w:rPr>
          <w:rFonts w:ascii="Arial" w:hAnsi="Arial" w:cs="Arial"/>
          <w:color w:val="000000"/>
        </w:rPr>
        <w:t>unkcionális függetlensége a 2020</w:t>
      </w:r>
      <w:r w:rsidRPr="00DF248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évben mind az ellenőrzési program elkészítése, végrehajtása, következtetések és ajánlások kidolgozása, ellenőrzési jelentés elkészítése során biztosított volt.</w:t>
      </w:r>
    </w:p>
    <w:p w14:paraId="5D386E54" w14:textId="77777777" w:rsidR="00C513AE" w:rsidRDefault="00C513AE" w:rsidP="00C513AE">
      <w:pPr>
        <w:jc w:val="both"/>
        <w:rPr>
          <w:rFonts w:ascii="Arial" w:hAnsi="Arial" w:cs="Arial"/>
          <w:color w:val="000000"/>
        </w:rPr>
      </w:pPr>
    </w:p>
    <w:p w14:paraId="58ED7424" w14:textId="77777777" w:rsidR="00C513AE" w:rsidRDefault="00C513AE" w:rsidP="00C513A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belső ellenőr</w:t>
      </w:r>
      <w:r w:rsidR="00522C46">
        <w:rPr>
          <w:rFonts w:ascii="Arial" w:hAnsi="Arial" w:cs="Arial"/>
          <w:color w:val="000000"/>
        </w:rPr>
        <w:t>zés</w:t>
      </w:r>
      <w:r>
        <w:rPr>
          <w:rFonts w:ascii="Arial" w:hAnsi="Arial" w:cs="Arial"/>
          <w:color w:val="000000"/>
        </w:rPr>
        <w:t xml:space="preserve"> nem vett részt a </w:t>
      </w:r>
      <w:r w:rsidR="00A2338E">
        <w:rPr>
          <w:rFonts w:ascii="Arial" w:hAnsi="Arial" w:cs="Arial"/>
          <w:color w:val="000000"/>
        </w:rPr>
        <w:t>Német</w:t>
      </w:r>
      <w:r>
        <w:rPr>
          <w:rFonts w:ascii="Arial" w:hAnsi="Arial" w:cs="Arial"/>
          <w:color w:val="000000"/>
        </w:rPr>
        <w:t xml:space="preserve"> Nemzetiségi Önkormányzat Mór operatív működésével kapcsolatos feladatok ellátásában </w:t>
      </w:r>
      <w:proofErr w:type="gramStart"/>
      <w:r>
        <w:rPr>
          <w:rFonts w:ascii="Arial" w:hAnsi="Arial" w:cs="Arial"/>
          <w:color w:val="000000"/>
        </w:rPr>
        <w:t>( pl.</w:t>
      </w:r>
      <w:proofErr w:type="gramEnd"/>
      <w:r>
        <w:rPr>
          <w:rFonts w:ascii="Arial" w:hAnsi="Arial" w:cs="Arial"/>
          <w:color w:val="000000"/>
        </w:rPr>
        <w:t xml:space="preserve">: az Önkormányzat működésével kapcsolatos döntések meghozatala, bármely végrehajtási, irányítási tevékenységben, pénzügyi tranzakciók kezdeményezése vagy jóváhagyása vagy kötelezettség vállalása). </w:t>
      </w:r>
    </w:p>
    <w:p w14:paraId="288D6AF0" w14:textId="77777777" w:rsidR="00895C67" w:rsidRDefault="00C513AE" w:rsidP="00B80B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belső ellenőrzés tevékenysége során független, külső befolyástól mentesen, pártatlanul és tárgyilagosan végezte munkáját.</w:t>
      </w:r>
    </w:p>
    <w:p w14:paraId="544C3534" w14:textId="77777777" w:rsidR="00B80B3C" w:rsidRPr="00B80B3C" w:rsidRDefault="00B80B3C" w:rsidP="00B80B3C">
      <w:pPr>
        <w:jc w:val="both"/>
        <w:rPr>
          <w:rFonts w:ascii="Arial" w:hAnsi="Arial" w:cs="Arial"/>
          <w:color w:val="000000"/>
        </w:rPr>
      </w:pPr>
    </w:p>
    <w:p w14:paraId="0AA1F8B1" w14:textId="77777777" w:rsidR="00323A72" w:rsidRPr="001318CD" w:rsidRDefault="00323A72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7" w:name="_Toc345230279"/>
      <w:r w:rsidRPr="00B2421A">
        <w:rPr>
          <w:rFonts w:ascii="Bookman Old Style" w:eastAsia="Calibri" w:hAnsi="Bookman Old Style" w:cs="Calibri"/>
          <w:sz w:val="22"/>
          <w:szCs w:val="22"/>
        </w:rPr>
        <w:t>Összeférhetetlenségi esete</w:t>
      </w:r>
      <w:bookmarkEnd w:id="7"/>
      <w:r w:rsidR="001318CD">
        <w:rPr>
          <w:rFonts w:ascii="Bookman Old Style" w:eastAsia="Calibri" w:hAnsi="Bookman Old Style" w:cs="Calibri"/>
          <w:sz w:val="22"/>
          <w:szCs w:val="22"/>
        </w:rPr>
        <w:t>k</w:t>
      </w:r>
    </w:p>
    <w:p w14:paraId="02CE47E4" w14:textId="77777777" w:rsidR="00C513AE" w:rsidRPr="00B80B3C" w:rsidRDefault="0089435C" w:rsidP="00B2421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Összeférhetetlenségi eset a</w:t>
      </w:r>
      <w:r w:rsidR="00522C46">
        <w:rPr>
          <w:rFonts w:ascii="Arial" w:eastAsia="Calibri" w:hAnsi="Arial" w:cs="Arial"/>
        </w:rPr>
        <w:t xml:space="preserve"> 2020</w:t>
      </w:r>
      <w:r w:rsidR="00B61A3B" w:rsidRPr="00B61A3B">
        <w:rPr>
          <w:rFonts w:ascii="Arial" w:eastAsia="Calibri" w:hAnsi="Arial" w:cs="Arial"/>
        </w:rPr>
        <w:t>. évi belső ellenőrzés során nem merült fel.</w:t>
      </w:r>
    </w:p>
    <w:p w14:paraId="3EA8A209" w14:textId="77777777" w:rsidR="00406F37" w:rsidRPr="001318CD" w:rsidRDefault="00323A72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8" w:name="_Toc345230280"/>
      <w:r w:rsidRPr="00B2421A">
        <w:rPr>
          <w:rFonts w:ascii="Bookman Old Style" w:eastAsia="Calibri" w:hAnsi="Bookman Old Style" w:cs="Calibri"/>
          <w:sz w:val="22"/>
          <w:szCs w:val="22"/>
        </w:rPr>
        <w:t>A belső ellenőri jogokkal kapcsolatos esetleges korlátozások bemutatása</w:t>
      </w:r>
      <w:bookmarkEnd w:id="8"/>
    </w:p>
    <w:p w14:paraId="665D138D" w14:textId="77777777" w:rsidR="00A6621D" w:rsidRDefault="00406F37" w:rsidP="00C513AE">
      <w:pPr>
        <w:pStyle w:val="Nincstrkz"/>
        <w:jc w:val="both"/>
        <w:rPr>
          <w:rFonts w:ascii="Arial" w:eastAsia="Calibri" w:hAnsi="Arial" w:cs="Arial"/>
        </w:rPr>
      </w:pPr>
      <w:r w:rsidRPr="0089435C">
        <w:rPr>
          <w:rFonts w:ascii="Arial" w:eastAsia="Calibri" w:hAnsi="Arial" w:cs="Arial"/>
        </w:rPr>
        <w:t>A Bkr. 25.§ pontjaiban megfogalmazott jogosultságokkal kapcsolatos problémák, korlátozások a tárgyé</w:t>
      </w:r>
      <w:r w:rsidR="00BD2EED" w:rsidRPr="0089435C">
        <w:rPr>
          <w:rFonts w:ascii="Arial" w:eastAsia="Calibri" w:hAnsi="Arial" w:cs="Arial"/>
        </w:rPr>
        <w:t>v</w:t>
      </w:r>
      <w:r w:rsidRPr="0089435C">
        <w:rPr>
          <w:rFonts w:ascii="Arial" w:eastAsia="Calibri" w:hAnsi="Arial" w:cs="Arial"/>
        </w:rPr>
        <w:t>ben nem merült fel.</w:t>
      </w:r>
    </w:p>
    <w:p w14:paraId="1BC408BA" w14:textId="77777777" w:rsidR="00522C46" w:rsidRDefault="00522C46" w:rsidP="00C513AE">
      <w:pPr>
        <w:pStyle w:val="Nincstrkz"/>
        <w:jc w:val="both"/>
        <w:rPr>
          <w:rFonts w:ascii="Arial" w:eastAsia="Calibri" w:hAnsi="Arial" w:cs="Arial"/>
        </w:rPr>
      </w:pPr>
    </w:p>
    <w:p w14:paraId="4A8F8EC0" w14:textId="77777777" w:rsidR="00C513AE" w:rsidRPr="00C513AE" w:rsidRDefault="00C513AE" w:rsidP="00C513AE">
      <w:pPr>
        <w:pStyle w:val="Nincstrkz"/>
        <w:jc w:val="both"/>
        <w:rPr>
          <w:rFonts w:ascii="Arial" w:eastAsia="Calibri" w:hAnsi="Arial" w:cs="Arial"/>
        </w:rPr>
      </w:pPr>
    </w:p>
    <w:p w14:paraId="00644B06" w14:textId="77777777" w:rsidR="00B61A3B" w:rsidRPr="001318CD" w:rsidRDefault="00323A72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9" w:name="_Toc345230281"/>
      <w:r w:rsidRPr="00B2421A">
        <w:rPr>
          <w:rFonts w:ascii="Bookman Old Style" w:eastAsia="Calibri" w:hAnsi="Bookman Old Style" w:cs="Calibri"/>
          <w:sz w:val="22"/>
          <w:szCs w:val="22"/>
        </w:rPr>
        <w:lastRenderedPageBreak/>
        <w:t>A belső ellenőrzés végrehajtását akadályozó tényezők</w:t>
      </w:r>
      <w:bookmarkEnd w:id="9"/>
    </w:p>
    <w:p w14:paraId="229ECE8B" w14:textId="77777777" w:rsidR="00337E40" w:rsidRPr="00B80B3C" w:rsidRDefault="00614B2D" w:rsidP="00B80B3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Az ellenőrzés</w:t>
      </w:r>
      <w:r w:rsidR="00B61A3B" w:rsidRPr="00B61A3B">
        <w:rPr>
          <w:rFonts w:ascii="Arial" w:hAnsi="Arial" w:cs="Arial"/>
        </w:rPr>
        <w:t xml:space="preserve"> végrehajtását, lezárást akadályozó tényező nem merült fel.</w:t>
      </w:r>
    </w:p>
    <w:p w14:paraId="4166682A" w14:textId="77777777" w:rsidR="00406F37" w:rsidRPr="00C513AE" w:rsidRDefault="00323A72" w:rsidP="00FC394B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10" w:name="_Toc345230282"/>
      <w:r w:rsidRPr="00B2421A">
        <w:rPr>
          <w:rFonts w:ascii="Bookman Old Style" w:eastAsia="Calibri" w:hAnsi="Bookman Old Style" w:cs="Calibri"/>
          <w:sz w:val="22"/>
          <w:szCs w:val="22"/>
        </w:rPr>
        <w:t>Az ellenőrzések nyilvántartása</w:t>
      </w:r>
      <w:bookmarkEnd w:id="10"/>
    </w:p>
    <w:p w14:paraId="10B6E7EE" w14:textId="77777777" w:rsidR="005E3C43" w:rsidRPr="00DB7353" w:rsidRDefault="00406F37" w:rsidP="00DB7353">
      <w:pPr>
        <w:pStyle w:val="Nincstrkz"/>
        <w:jc w:val="both"/>
        <w:rPr>
          <w:rFonts w:ascii="Arial" w:eastAsia="Calibri" w:hAnsi="Arial" w:cs="Arial"/>
        </w:rPr>
      </w:pPr>
      <w:r w:rsidRPr="00DB7353">
        <w:rPr>
          <w:rFonts w:ascii="Arial" w:eastAsia="Calibri" w:hAnsi="Arial" w:cs="Arial"/>
        </w:rPr>
        <w:t>A belső ellenőrzési vezető köteles az elvégzett belső ellenőrzésekrő</w:t>
      </w:r>
      <w:r w:rsidR="00522C46">
        <w:rPr>
          <w:rFonts w:ascii="Arial" w:eastAsia="Calibri" w:hAnsi="Arial" w:cs="Arial"/>
        </w:rPr>
        <w:t>l nyilvántartást vezetni. A 2020</w:t>
      </w:r>
      <w:r w:rsidRPr="00DB7353">
        <w:rPr>
          <w:rFonts w:ascii="Arial" w:eastAsia="Calibri" w:hAnsi="Arial" w:cs="Arial"/>
        </w:rPr>
        <w:t xml:space="preserve">. évi belső ellenőrzés nyilvántartása </w:t>
      </w:r>
      <w:proofErr w:type="gramStart"/>
      <w:r w:rsidRPr="00DB7353">
        <w:rPr>
          <w:rFonts w:ascii="Arial" w:eastAsia="Calibri" w:hAnsi="Arial" w:cs="Arial"/>
        </w:rPr>
        <w:t>a  Bkr</w:t>
      </w:r>
      <w:proofErr w:type="gramEnd"/>
      <w:r w:rsidRPr="00DB7353">
        <w:rPr>
          <w:rFonts w:ascii="Arial" w:eastAsia="Calibri" w:hAnsi="Arial" w:cs="Arial"/>
        </w:rPr>
        <w:t>. 50. § (2) foglalt kötelező elemeket (ellenőrzés azonosítója, ellenőrzött szerv, szervezeti egység megnevezése, ellenőrzés tárgya, ellenőrzés kezdetének, lezárásának időpontja, ellenőrzés lefolytatásában részt vett belső ellenőr, vizsgált időszak, intézkedési terv készítésének szükségessége) tartalmazza. A nyilvántartás vezetése elektronikus felületen</w:t>
      </w:r>
      <w:r w:rsidR="000505EB" w:rsidRPr="00DB7353">
        <w:rPr>
          <w:rFonts w:ascii="Arial" w:eastAsia="Calibri" w:hAnsi="Arial" w:cs="Arial"/>
        </w:rPr>
        <w:t xml:space="preserve"> történt. </w:t>
      </w:r>
    </w:p>
    <w:p w14:paraId="53EC52AD" w14:textId="77777777" w:rsidR="001318CD" w:rsidRPr="00B2421A" w:rsidRDefault="001318CD" w:rsidP="00B2421A">
      <w:pPr>
        <w:rPr>
          <w:rFonts w:ascii="Bookman Old Style" w:hAnsi="Bookman Old Style"/>
          <w:color w:val="0000FF"/>
        </w:rPr>
      </w:pPr>
    </w:p>
    <w:p w14:paraId="2C2CA00C" w14:textId="77777777" w:rsidR="00C513AE" w:rsidRPr="00B80B3C" w:rsidRDefault="00323A72" w:rsidP="00C513AE">
      <w:pPr>
        <w:numPr>
          <w:ilvl w:val="2"/>
          <w:numId w:val="1"/>
        </w:numPr>
        <w:spacing w:line="360" w:lineRule="auto"/>
        <w:jc w:val="both"/>
        <w:outlineLvl w:val="2"/>
        <w:rPr>
          <w:rFonts w:ascii="Bookman Old Style" w:hAnsi="Bookman Old Style" w:cs="Arial"/>
        </w:rPr>
      </w:pPr>
      <w:bookmarkStart w:id="11" w:name="_Toc345230283"/>
      <w:r w:rsidRPr="00B2421A">
        <w:rPr>
          <w:rFonts w:ascii="Bookman Old Style" w:eastAsia="Calibri" w:hAnsi="Bookman Old Style" w:cs="Calibri"/>
          <w:sz w:val="22"/>
          <w:szCs w:val="22"/>
        </w:rPr>
        <w:t>Az ellenőrzési tevékenység fejlesztésére vonatkozó javaslatok</w:t>
      </w:r>
      <w:bookmarkEnd w:id="11"/>
    </w:p>
    <w:p w14:paraId="4704C719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 belső ellenőrzéssel szemben alapvető elvárás, hogy tárja fel az esetleges szabálytalanságokat, a belső kontroll alkalmazásának következtében alacsonyabb kockázati tényezők jelenjenek meg.</w:t>
      </w:r>
    </w:p>
    <w:p w14:paraId="1D56E2A6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</w:p>
    <w:p w14:paraId="2941C89B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Az ellenőrzések során továbbra is kiemelten kell kezelni:</w:t>
      </w:r>
    </w:p>
    <w:p w14:paraId="5BB9B507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• a belső kontroll rendszerek működtetését, fejlesztését a külső tényezők változásának függvényében</w:t>
      </w:r>
      <w:r w:rsidR="00B80B3C">
        <w:rPr>
          <w:rFonts w:ascii="Arial" w:hAnsi="Arial" w:cs="Arial"/>
        </w:rPr>
        <w:t>,</w:t>
      </w:r>
    </w:p>
    <w:p w14:paraId="7E62BBC2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• a jogszabályi előírás</w:t>
      </w:r>
      <w:r w:rsidR="001318CD" w:rsidRPr="007A62AD">
        <w:rPr>
          <w:rFonts w:ascii="Arial" w:hAnsi="Arial" w:cs="Arial"/>
        </w:rPr>
        <w:t>oknak megfelelő szabályozottságo</w:t>
      </w:r>
      <w:r w:rsidRPr="007A62AD">
        <w:rPr>
          <w:rFonts w:ascii="Arial" w:hAnsi="Arial" w:cs="Arial"/>
        </w:rPr>
        <w:t>t.</w:t>
      </w:r>
    </w:p>
    <w:p w14:paraId="2CCA0919" w14:textId="77777777" w:rsidR="00CC2230" w:rsidRPr="007A62AD" w:rsidRDefault="00CC2230" w:rsidP="00CC2230">
      <w:pPr>
        <w:pStyle w:val="Nincstrkz"/>
        <w:jc w:val="both"/>
        <w:rPr>
          <w:rFonts w:ascii="Arial" w:hAnsi="Arial" w:cs="Arial"/>
        </w:rPr>
      </w:pPr>
    </w:p>
    <w:p w14:paraId="5DCBD53A" w14:textId="77777777" w:rsidR="00A6621D" w:rsidRPr="007A62AD" w:rsidRDefault="00CC2230" w:rsidP="00CC2230">
      <w:pPr>
        <w:pStyle w:val="Nincstrkz"/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Az ellenőrzési tevékenység fejlesztése érdekében, szükséges az utóellenőrzések gyakoriságát növelni. A gazdaságosság, hatékonyság, eredményesség növelése, javítása érdekében célszerű a tanácsadói tevékenység fokozása, az ellenőrzési lefedettség növelése.</w:t>
      </w:r>
      <w:r w:rsidR="00FA38E9">
        <w:rPr>
          <w:rFonts w:ascii="Arial" w:hAnsi="Arial" w:cs="Arial"/>
        </w:rPr>
        <w:t xml:space="preserve"> </w:t>
      </w:r>
    </w:p>
    <w:p w14:paraId="6FC00768" w14:textId="77777777" w:rsidR="00DE69D8" w:rsidRPr="00B2421A" w:rsidRDefault="00DE69D8" w:rsidP="00DE69D8">
      <w:pPr>
        <w:spacing w:line="360" w:lineRule="auto"/>
        <w:rPr>
          <w:rFonts w:ascii="Bookman Old Style" w:hAnsi="Bookman Old Style"/>
          <w:color w:val="0000FF"/>
        </w:rPr>
      </w:pPr>
    </w:p>
    <w:p w14:paraId="34E90BDB" w14:textId="77777777" w:rsidR="00A6621D" w:rsidRPr="00B80B3C" w:rsidRDefault="00323A72" w:rsidP="00B2421A">
      <w:pPr>
        <w:numPr>
          <w:ilvl w:val="1"/>
          <w:numId w:val="1"/>
        </w:numPr>
        <w:spacing w:line="360" w:lineRule="auto"/>
        <w:jc w:val="both"/>
        <w:outlineLvl w:val="1"/>
        <w:rPr>
          <w:rFonts w:ascii="Bookman Old Style" w:hAnsi="Bookman Old Style" w:cs="Arial"/>
        </w:rPr>
      </w:pPr>
      <w:bookmarkStart w:id="12" w:name="_Toc345230284"/>
      <w:r w:rsidRPr="00B2421A">
        <w:rPr>
          <w:rFonts w:ascii="Bookman Old Style" w:eastAsia="Calibri" w:hAnsi="Bookman Old Style" w:cs="Calibri"/>
          <w:sz w:val="22"/>
          <w:szCs w:val="22"/>
        </w:rPr>
        <w:t>A bizonyosságot adó tevékenységet elősegítő és akadályozó tényezők bemutatása</w:t>
      </w:r>
      <w:bookmarkEnd w:id="12"/>
    </w:p>
    <w:p w14:paraId="6B7899C3" w14:textId="77777777" w:rsidR="00323A72" w:rsidRPr="00B80B3C" w:rsidRDefault="009755DE" w:rsidP="00B2421A">
      <w:pPr>
        <w:spacing w:line="360" w:lineRule="auto"/>
        <w:jc w:val="both"/>
        <w:rPr>
          <w:rFonts w:ascii="Arial" w:eastAsia="Calibri" w:hAnsi="Arial" w:cs="Arial"/>
          <w:szCs w:val="22"/>
        </w:rPr>
      </w:pPr>
      <w:r w:rsidRPr="00FA38E9">
        <w:rPr>
          <w:rFonts w:ascii="Arial" w:eastAsia="Calibri" w:hAnsi="Arial" w:cs="Arial"/>
          <w:szCs w:val="22"/>
        </w:rPr>
        <w:t>Tanácsadói tevékenység a 20</w:t>
      </w:r>
      <w:r w:rsidR="00522C46">
        <w:rPr>
          <w:rFonts w:ascii="Arial" w:eastAsia="Calibri" w:hAnsi="Arial" w:cs="Arial"/>
          <w:szCs w:val="22"/>
        </w:rPr>
        <w:t>20</w:t>
      </w:r>
      <w:r w:rsidR="000505EB" w:rsidRPr="00FA38E9">
        <w:rPr>
          <w:rFonts w:ascii="Arial" w:eastAsia="Calibri" w:hAnsi="Arial" w:cs="Arial"/>
          <w:szCs w:val="22"/>
        </w:rPr>
        <w:t>. évre vonatkozóan nem történt.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20"/>
      </w:tblGrid>
      <w:tr w:rsidR="00323A72" w:rsidRPr="00B2421A" w14:paraId="128CB295" w14:textId="77777777">
        <w:tc>
          <w:tcPr>
            <w:tcW w:w="4068" w:type="dxa"/>
            <w:shd w:val="clear" w:color="auto" w:fill="D9D9D9"/>
          </w:tcPr>
          <w:p w14:paraId="0CAFB971" w14:textId="77777777" w:rsidR="00323A72" w:rsidRPr="00B2421A" w:rsidRDefault="00323A72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Tárgy</w:t>
            </w:r>
          </w:p>
        </w:tc>
        <w:tc>
          <w:tcPr>
            <w:tcW w:w="5220" w:type="dxa"/>
            <w:shd w:val="clear" w:color="auto" w:fill="D9D9D9"/>
          </w:tcPr>
          <w:p w14:paraId="4C69D13B" w14:textId="77777777" w:rsidR="00323A72" w:rsidRPr="00B2421A" w:rsidRDefault="00323A72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  <w:t>Eredmény</w:t>
            </w:r>
          </w:p>
        </w:tc>
      </w:tr>
      <w:tr w:rsidR="00323A72" w:rsidRPr="00B2421A" w14:paraId="480DE9EB" w14:textId="77777777">
        <w:tc>
          <w:tcPr>
            <w:tcW w:w="4068" w:type="dxa"/>
          </w:tcPr>
          <w:p w14:paraId="3AABB20E" w14:textId="77777777" w:rsidR="00323A72" w:rsidRPr="00B2421A" w:rsidRDefault="00323A72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i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  <w:t>A tanácsadás címe, tárgya</w:t>
            </w:r>
          </w:p>
        </w:tc>
        <w:tc>
          <w:tcPr>
            <w:tcW w:w="5220" w:type="dxa"/>
          </w:tcPr>
          <w:p w14:paraId="67DA9834" w14:textId="77777777" w:rsidR="00323A72" w:rsidRPr="00B2421A" w:rsidRDefault="00323A72" w:rsidP="00B2421A">
            <w:pPr>
              <w:spacing w:line="360" w:lineRule="auto"/>
              <w:jc w:val="center"/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</w:pPr>
            <w:r w:rsidRPr="00B2421A">
              <w:rPr>
                <w:rFonts w:ascii="Bookman Old Style" w:eastAsia="Calibri" w:hAnsi="Bookman Old Style" w:cs="Calibri"/>
                <w:color w:val="0000FF"/>
                <w:sz w:val="20"/>
                <w:szCs w:val="20"/>
              </w:rPr>
              <w:t>A tanácsadás eredményeinek rövid bemutatása.</w:t>
            </w:r>
          </w:p>
        </w:tc>
      </w:tr>
    </w:tbl>
    <w:p w14:paraId="58D3ACD8" w14:textId="77777777" w:rsidR="006A4961" w:rsidRPr="00B2421A" w:rsidRDefault="006A4961" w:rsidP="00B2421A">
      <w:pPr>
        <w:spacing w:line="360" w:lineRule="auto"/>
        <w:rPr>
          <w:rFonts w:ascii="Bookman Old Style" w:hAnsi="Bookman Old Style"/>
          <w:color w:val="0000FF"/>
        </w:rPr>
      </w:pPr>
    </w:p>
    <w:p w14:paraId="4B9AB774" w14:textId="77777777" w:rsidR="00614B2D" w:rsidRPr="00FA38E9" w:rsidRDefault="00323A72" w:rsidP="00FC394B">
      <w:pPr>
        <w:numPr>
          <w:ilvl w:val="0"/>
          <w:numId w:val="1"/>
        </w:numPr>
        <w:spacing w:line="360" w:lineRule="auto"/>
        <w:jc w:val="both"/>
        <w:outlineLvl w:val="0"/>
        <w:rPr>
          <w:rFonts w:ascii="Bookman Old Style" w:hAnsi="Bookman Old Style" w:cs="Arial"/>
        </w:rPr>
      </w:pPr>
      <w:bookmarkStart w:id="13" w:name="_Toc345230285"/>
      <w:r w:rsidRPr="00B2421A">
        <w:rPr>
          <w:rFonts w:ascii="Bookman Old Style" w:eastAsia="Calibri" w:hAnsi="Bookman Old Style" w:cs="Calibri"/>
          <w:b/>
          <w:sz w:val="22"/>
          <w:szCs w:val="22"/>
        </w:rPr>
        <w:t>A belső kontrollrendszer működésének értékelése ellenőrzési tapasztalatok alapján</w:t>
      </w:r>
      <w:bookmarkEnd w:id="13"/>
    </w:p>
    <w:p w14:paraId="097CC6F1" w14:textId="77777777" w:rsidR="00323A72" w:rsidRPr="00B2421A" w:rsidRDefault="00323A72" w:rsidP="00B2421A">
      <w:pPr>
        <w:rPr>
          <w:rFonts w:ascii="Bookman Old Style" w:hAnsi="Bookman Old Style"/>
          <w:color w:val="0000FF"/>
        </w:rPr>
      </w:pPr>
    </w:p>
    <w:p w14:paraId="12E8D150" w14:textId="77777777" w:rsidR="00E75922" w:rsidRPr="00FA38E9" w:rsidRDefault="002C18D6" w:rsidP="00FC394B">
      <w:pPr>
        <w:numPr>
          <w:ilvl w:val="1"/>
          <w:numId w:val="1"/>
        </w:numPr>
        <w:spacing w:line="360" w:lineRule="auto"/>
        <w:jc w:val="both"/>
        <w:outlineLvl w:val="1"/>
        <w:rPr>
          <w:rFonts w:ascii="Bookman Old Style" w:hAnsi="Bookman Old Style" w:cs="Arial"/>
        </w:rPr>
      </w:pPr>
      <w:bookmarkStart w:id="14" w:name="_Toc345230286"/>
      <w:r w:rsidRPr="00B2421A">
        <w:rPr>
          <w:rFonts w:ascii="Bookman Old Style" w:eastAsia="Calibri" w:hAnsi="Bookman Old Style" w:cs="Calibri"/>
          <w:sz w:val="22"/>
          <w:szCs w:val="22"/>
        </w:rPr>
        <w:t>A belső kontrollrendszer szabályszerűségének, gazdaságosságának, hatékonyságának és eredményességének növelése, javítása érdekében tett fontosabb javaslatok</w:t>
      </w:r>
      <w:bookmarkEnd w:id="14"/>
    </w:p>
    <w:p w14:paraId="08B2A1AA" w14:textId="77777777" w:rsidR="00E75922" w:rsidRPr="00A51817" w:rsidRDefault="00E75922" w:rsidP="00A51817">
      <w:pPr>
        <w:pStyle w:val="Nincstrkz"/>
        <w:jc w:val="both"/>
        <w:rPr>
          <w:rFonts w:ascii="Arial" w:eastAsia="Calibri" w:hAnsi="Arial" w:cs="Arial"/>
        </w:rPr>
      </w:pPr>
      <w:r w:rsidRPr="00A51817">
        <w:rPr>
          <w:rFonts w:ascii="Arial" w:eastAsia="Calibri" w:hAnsi="Arial" w:cs="Arial"/>
        </w:rPr>
        <w:t xml:space="preserve">A belső kontroll egy összetett folyamat, amelyet egy szervezet vezetése és </w:t>
      </w:r>
      <w:r w:rsidR="00FA38E9">
        <w:rPr>
          <w:rFonts w:ascii="Arial" w:eastAsia="Calibri" w:hAnsi="Arial" w:cs="Arial"/>
        </w:rPr>
        <w:t>a képviselő-testület tagjai</w:t>
      </w:r>
      <w:r w:rsidRPr="00A51817">
        <w:rPr>
          <w:rFonts w:ascii="Arial" w:eastAsia="Calibri" w:hAnsi="Arial" w:cs="Arial"/>
        </w:rPr>
        <w:t xml:space="preserve"> valósítanak meg, valamint folyamatosan alkalmazkodik a szervezetet érintő változásokhoz. A kontrollok lényege, hogy nem egyszeri ellenőrzési tevékenységet jelentenek, hanem folyamatokat, „kontrollpontok” alkalmazását.</w:t>
      </w:r>
    </w:p>
    <w:p w14:paraId="47F0A1B1" w14:textId="77777777" w:rsidR="001318CD" w:rsidRDefault="00E75922" w:rsidP="00AA5AD2">
      <w:pPr>
        <w:pStyle w:val="Nincstrkz"/>
        <w:jc w:val="both"/>
        <w:rPr>
          <w:rFonts w:ascii="Arial" w:eastAsia="Calibri" w:hAnsi="Arial" w:cs="Arial"/>
        </w:rPr>
      </w:pPr>
      <w:r w:rsidRPr="00A51817">
        <w:rPr>
          <w:rFonts w:ascii="Arial" w:eastAsia="Calibri" w:hAnsi="Arial" w:cs="Arial"/>
        </w:rPr>
        <w:lastRenderedPageBreak/>
        <w:t xml:space="preserve">A belső kontrollrendszer tartalmazza mindazon elveket, eljárásokat és belső szabályzatokat, melyek alapján </w:t>
      </w:r>
      <w:r w:rsidR="00FA38E9">
        <w:rPr>
          <w:rFonts w:ascii="Arial" w:eastAsia="Calibri" w:hAnsi="Arial" w:cs="Arial"/>
        </w:rPr>
        <w:t>az önkormányzat</w:t>
      </w:r>
      <w:r w:rsidRPr="00A51817">
        <w:rPr>
          <w:rFonts w:ascii="Arial" w:eastAsia="Calibri" w:hAnsi="Arial" w:cs="Arial"/>
        </w:rPr>
        <w:t xml:space="preserve"> érvényesíti a feladatai ellátására szolgáló előirányzatokkal, a vagyonnal való szabályszerű, gazdaságos, hatékony és eredményes gazdálkodás követelményeit.</w:t>
      </w:r>
    </w:p>
    <w:p w14:paraId="7577E035" w14:textId="77777777" w:rsidR="00701EEE" w:rsidRDefault="00701EEE" w:rsidP="00AA5AD2">
      <w:pPr>
        <w:pStyle w:val="Nincstrkz"/>
        <w:jc w:val="both"/>
        <w:rPr>
          <w:rFonts w:ascii="Arial" w:eastAsia="Calibri" w:hAnsi="Arial" w:cs="Arial"/>
        </w:rPr>
      </w:pPr>
    </w:p>
    <w:p w14:paraId="12E15A73" w14:textId="77777777" w:rsidR="00701EEE" w:rsidRPr="00701EEE" w:rsidRDefault="00701EEE" w:rsidP="00AA5AD2">
      <w:pPr>
        <w:pStyle w:val="Nincstrkz"/>
        <w:jc w:val="both"/>
        <w:rPr>
          <w:rFonts w:ascii="Arial" w:eastAsia="Calibri" w:hAnsi="Arial" w:cs="Arial"/>
          <w:b/>
          <w:i/>
          <w:u w:val="single"/>
        </w:rPr>
      </w:pPr>
      <w:r w:rsidRPr="00701EEE">
        <w:rPr>
          <w:rFonts w:ascii="Arial" w:eastAsia="Calibri" w:hAnsi="Arial" w:cs="Arial"/>
          <w:b/>
          <w:i/>
          <w:u w:val="single"/>
        </w:rPr>
        <w:t>Főbb javasolatok:</w:t>
      </w:r>
    </w:p>
    <w:p w14:paraId="6A57B7BB" w14:textId="77777777" w:rsidR="00701EEE" w:rsidRDefault="00701EEE" w:rsidP="00AA5AD2">
      <w:pPr>
        <w:pStyle w:val="Nincstrkz"/>
        <w:jc w:val="both"/>
        <w:rPr>
          <w:rFonts w:ascii="Arial" w:eastAsia="Calibri" w:hAnsi="Arial" w:cs="Arial"/>
        </w:rPr>
      </w:pPr>
    </w:p>
    <w:p w14:paraId="4230657D" w14:textId="77777777" w:rsidR="00AA5AD2" w:rsidRDefault="00522C46" w:rsidP="00AA5AD2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  <w:r w:rsidRPr="00522C46">
        <w:rPr>
          <w:rFonts w:ascii="Arial" w:hAnsi="Arial" w:cs="Arial"/>
          <w:color w:val="000000"/>
          <w:shd w:val="clear" w:color="auto" w:fill="FFFFFF"/>
        </w:rPr>
        <w:t>A vagyonnyilatkozat-tételi kötelezettség teljesítésével kapcsolatos szabályzat, elnöki utasítás nem készült. Nincs irányadó szabályozás a vagyonnyilatkozat benyújtásával, átvételével, kezelésével, ellenőrzésével kapcsolatosan, így annak szabályszerűségének vizsgálata irreleváns volt.</w:t>
      </w:r>
    </w:p>
    <w:p w14:paraId="55B23D1B" w14:textId="77777777" w:rsidR="00522C46" w:rsidRPr="00522C46" w:rsidRDefault="00522C46" w:rsidP="00522C46">
      <w:pPr>
        <w:pStyle w:val="Nincstrkz"/>
        <w:jc w:val="both"/>
        <w:rPr>
          <w:rFonts w:ascii="Arial" w:eastAsia="Calibri" w:hAnsi="Arial" w:cs="Arial"/>
        </w:rPr>
      </w:pPr>
      <w:r w:rsidRPr="00522C46">
        <w:rPr>
          <w:rFonts w:ascii="Arial" w:eastAsia="Calibri" w:hAnsi="Arial" w:cs="Arial"/>
        </w:rPr>
        <w:t>Javasolt szabályzatot kiadni a vagyonnyilatkozat-tételi kötelezettség teljesítésének eljárásrendjével kapcsolatban, amelyben ki kell alakítani a feladat-, hatás-, és felelősség köröket, valamint egy egységesített eljárásrendet a vagyonnyilatkozatok átvételével, kezelésével, ellenőrzésével, nyilvántartásával kapcsolatosan.</w:t>
      </w:r>
    </w:p>
    <w:p w14:paraId="31DF26B3" w14:textId="77777777" w:rsidR="00522C46" w:rsidRDefault="00522C46" w:rsidP="00522C46">
      <w:pPr>
        <w:pStyle w:val="Nincstrkz"/>
        <w:jc w:val="both"/>
        <w:rPr>
          <w:rFonts w:ascii="Arial" w:eastAsia="Calibri" w:hAnsi="Arial" w:cs="Arial"/>
        </w:rPr>
      </w:pPr>
      <w:r w:rsidRPr="00522C46">
        <w:rPr>
          <w:rFonts w:ascii="Arial" w:eastAsia="Calibri" w:hAnsi="Arial" w:cs="Arial"/>
        </w:rPr>
        <w:t>Tanácsos a kialakított szabályzatban meghatározni az SZMSZ-ben kijelölt „két képviselő” feladatát a vagyonnyilatkozatok kezeléssel és nyilvántartással kapcsolatban.</w:t>
      </w:r>
    </w:p>
    <w:p w14:paraId="58DC7E76" w14:textId="77777777" w:rsidR="00701EEE" w:rsidRDefault="00701EEE" w:rsidP="00522C46">
      <w:pPr>
        <w:pStyle w:val="Nincstrkz"/>
        <w:jc w:val="both"/>
        <w:rPr>
          <w:rFonts w:ascii="Arial" w:eastAsia="Calibri" w:hAnsi="Arial" w:cs="Arial"/>
        </w:rPr>
      </w:pPr>
    </w:p>
    <w:p w14:paraId="1DEC621D" w14:textId="77777777" w:rsidR="00BF371B" w:rsidRPr="00BF371B" w:rsidRDefault="00BF371B" w:rsidP="00BF371B">
      <w:pPr>
        <w:pStyle w:val="Nincstrkz"/>
        <w:jc w:val="both"/>
        <w:rPr>
          <w:rFonts w:ascii="Arial" w:eastAsia="Calibri" w:hAnsi="Arial" w:cs="Arial"/>
          <w:i/>
          <w:u w:val="single"/>
        </w:rPr>
      </w:pPr>
      <w:r w:rsidRPr="00BF371B">
        <w:rPr>
          <w:rFonts w:ascii="Arial" w:eastAsia="Calibri" w:hAnsi="Arial" w:cs="Arial"/>
          <w:i/>
          <w:u w:val="single"/>
        </w:rPr>
        <w:t>Javasolt továbbá még az alábbiak felülvizsgálata, módosítása:</w:t>
      </w:r>
    </w:p>
    <w:p w14:paraId="107CC5EF" w14:textId="77777777" w:rsidR="00BF371B" w:rsidRDefault="00701EEE" w:rsidP="00BF371B">
      <w:pPr>
        <w:pStyle w:val="Nincstrkz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felülvizsgálat: </w:t>
      </w:r>
      <w:r w:rsidR="00BF371B" w:rsidRPr="00BF371B">
        <w:rPr>
          <w:rFonts w:ascii="Arial" w:eastAsia="Calibri" w:hAnsi="Arial" w:cs="Arial"/>
        </w:rPr>
        <w:t>jogi és szervezé</w:t>
      </w:r>
      <w:r w:rsidR="00BF371B">
        <w:rPr>
          <w:rFonts w:ascii="Arial" w:eastAsia="Calibri" w:hAnsi="Arial" w:cs="Arial"/>
        </w:rPr>
        <w:t xml:space="preserve">si ügyintéző munkaköri leírása </w:t>
      </w:r>
    </w:p>
    <w:p w14:paraId="1DC21BAC" w14:textId="77777777" w:rsidR="00BF371B" w:rsidRDefault="00BF371B" w:rsidP="00BF371B">
      <w:pPr>
        <w:pStyle w:val="Nincstrkz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módosítás: </w:t>
      </w:r>
      <w:r w:rsidRPr="00BF371B">
        <w:rPr>
          <w:rFonts w:ascii="Arial" w:eastAsia="Calibri" w:hAnsi="Arial" w:cs="Arial"/>
        </w:rPr>
        <w:t>feladat pontos meghatározása</w:t>
      </w:r>
    </w:p>
    <w:p w14:paraId="3AAC51A7" w14:textId="77777777" w:rsidR="00701EEE" w:rsidRPr="00BF371B" w:rsidRDefault="00701EEE" w:rsidP="00BF371B">
      <w:pPr>
        <w:pStyle w:val="Nincstrkz"/>
        <w:jc w:val="both"/>
        <w:rPr>
          <w:rFonts w:ascii="Arial" w:eastAsia="Calibri" w:hAnsi="Arial" w:cs="Arial"/>
        </w:rPr>
      </w:pPr>
    </w:p>
    <w:p w14:paraId="7FC54809" w14:textId="77777777" w:rsidR="00BF371B" w:rsidRPr="00BF371B" w:rsidRDefault="00701EEE" w:rsidP="00BF371B">
      <w:pPr>
        <w:pStyle w:val="Nincstrkz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felülvizsgálat:</w:t>
      </w:r>
      <w:r w:rsidR="00276B01">
        <w:rPr>
          <w:rFonts w:ascii="Arial" w:eastAsia="Calibri" w:hAnsi="Arial" w:cs="Arial"/>
        </w:rPr>
        <w:t xml:space="preserve"> </w:t>
      </w:r>
      <w:r w:rsidR="00BF371B" w:rsidRPr="00BF371B">
        <w:rPr>
          <w:rFonts w:ascii="Arial" w:eastAsia="Calibri" w:hAnsi="Arial" w:cs="Arial"/>
        </w:rPr>
        <w:t xml:space="preserve">Mór Városi Önkormányzat Jegyzőjének 23/2016. (IX.14.) utasítása az Önkormányzati iroda ügyrendjéről </w:t>
      </w:r>
    </w:p>
    <w:p w14:paraId="4E696F57" w14:textId="77777777" w:rsidR="00BF371B" w:rsidRDefault="00BF371B" w:rsidP="00BF371B">
      <w:pPr>
        <w:pStyle w:val="Nincstrkz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módosítás: </w:t>
      </w:r>
      <w:r w:rsidRPr="00BF371B">
        <w:rPr>
          <w:rFonts w:ascii="Arial" w:eastAsia="Calibri" w:hAnsi="Arial" w:cs="Arial"/>
        </w:rPr>
        <w:t>fluktuációból adódó változások átvezetése, munkakörök és munkakörönkénti feladatok pontos meghatározása, helyettesítés rendjének felülvizsgálata</w:t>
      </w:r>
    </w:p>
    <w:p w14:paraId="3DE13000" w14:textId="77777777" w:rsidR="00BF371B" w:rsidRDefault="00BF371B" w:rsidP="00BF371B">
      <w:pPr>
        <w:pStyle w:val="Nincstrkz"/>
        <w:jc w:val="both"/>
        <w:rPr>
          <w:rFonts w:ascii="Arial" w:eastAsia="Calibri" w:hAnsi="Arial" w:cs="Arial"/>
        </w:rPr>
      </w:pPr>
    </w:p>
    <w:p w14:paraId="02FB5036" w14:textId="77777777" w:rsidR="00BF371B" w:rsidRPr="00522C46" w:rsidRDefault="00BF371B" w:rsidP="00BF371B">
      <w:pPr>
        <w:pStyle w:val="Nincstrkz"/>
        <w:jc w:val="both"/>
        <w:rPr>
          <w:rFonts w:ascii="Arial" w:eastAsia="Calibri" w:hAnsi="Arial" w:cs="Arial"/>
        </w:rPr>
      </w:pPr>
      <w:r w:rsidRPr="00BF371B">
        <w:rPr>
          <w:rFonts w:ascii="Arial" w:eastAsia="Calibri" w:hAnsi="Arial" w:cs="Arial"/>
        </w:rPr>
        <w:t>Tanácsos a 2019. évben tett vagyonnyilatkozatokat visszaadni a kötelezettek és hozzátartozóik részére.</w:t>
      </w:r>
    </w:p>
    <w:p w14:paraId="7E40E3C8" w14:textId="77777777" w:rsidR="00A45F9A" w:rsidRPr="00522C46" w:rsidRDefault="00A45F9A" w:rsidP="00AA5AD2">
      <w:pPr>
        <w:pStyle w:val="Nincstrkz"/>
        <w:jc w:val="both"/>
        <w:rPr>
          <w:rFonts w:ascii="Arial" w:eastAsia="Calibri" w:hAnsi="Arial" w:cs="Arial"/>
        </w:rPr>
      </w:pPr>
    </w:p>
    <w:p w14:paraId="1A6F6A65" w14:textId="77777777" w:rsidR="00B434DF" w:rsidRPr="00E75922" w:rsidRDefault="002C18D6" w:rsidP="00FC394B">
      <w:pPr>
        <w:numPr>
          <w:ilvl w:val="1"/>
          <w:numId w:val="1"/>
        </w:numPr>
        <w:spacing w:line="360" w:lineRule="auto"/>
        <w:jc w:val="both"/>
        <w:outlineLvl w:val="1"/>
        <w:rPr>
          <w:rFonts w:ascii="Bookman Old Style" w:hAnsi="Bookman Old Style" w:cs="Arial"/>
        </w:rPr>
      </w:pPr>
      <w:bookmarkStart w:id="15" w:name="_Toc345230287"/>
      <w:r w:rsidRPr="00B2421A">
        <w:rPr>
          <w:rFonts w:ascii="Bookman Old Style" w:eastAsia="Calibri" w:hAnsi="Bookman Old Style" w:cs="Calibri"/>
          <w:sz w:val="22"/>
          <w:szCs w:val="22"/>
        </w:rPr>
        <w:t>A belső kontrollrendszer öt elemének értékelése</w:t>
      </w:r>
      <w:bookmarkEnd w:id="15"/>
    </w:p>
    <w:p w14:paraId="3F515D1D" w14:textId="77777777" w:rsidR="00E75922" w:rsidRPr="00E75922" w:rsidRDefault="00E75922" w:rsidP="00E75922">
      <w:pPr>
        <w:jc w:val="both"/>
        <w:rPr>
          <w:rFonts w:ascii="Arial" w:hAnsi="Arial" w:cs="Arial"/>
        </w:rPr>
      </w:pPr>
    </w:p>
    <w:p w14:paraId="2F6DF2C2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 belső kontrollrendszert, mint fogalmat az Áht. 69. § (1) bekezdése az alábbi megfogalmazásban határozza meg:</w:t>
      </w:r>
    </w:p>
    <w:p w14:paraId="2806D26C" w14:textId="77777777" w:rsidR="00E75922" w:rsidRPr="007A62AD" w:rsidRDefault="00E75922" w:rsidP="00E75922">
      <w:pPr>
        <w:jc w:val="both"/>
        <w:rPr>
          <w:rFonts w:ascii="Arial" w:hAnsi="Arial" w:cs="Arial"/>
        </w:rPr>
      </w:pPr>
    </w:p>
    <w:p w14:paraId="28C339D3" w14:textId="77777777" w:rsidR="00E75922" w:rsidRPr="007A62AD" w:rsidRDefault="00E75922" w:rsidP="00E75922">
      <w:pPr>
        <w:jc w:val="both"/>
        <w:rPr>
          <w:rFonts w:ascii="Arial" w:hAnsi="Arial" w:cs="Arial"/>
          <w:i/>
          <w:sz w:val="22"/>
        </w:rPr>
      </w:pPr>
      <w:r w:rsidRPr="007A62AD">
        <w:rPr>
          <w:rFonts w:ascii="Arial" w:hAnsi="Arial" w:cs="Arial"/>
          <w:i/>
          <w:sz w:val="22"/>
        </w:rPr>
        <w:t>69. § (1) A belső kontrollrendszer a kockázatok kezelése és tárgyilagos bizonyosság megszerzése érdekében kialakított folyamatrendszer, amely azt a célt szolgálja, hogy megvalósuljanak a következő célok:</w:t>
      </w:r>
    </w:p>
    <w:p w14:paraId="648E1D28" w14:textId="77777777" w:rsidR="00E75922" w:rsidRPr="007A62AD" w:rsidRDefault="00E75922" w:rsidP="00E75922">
      <w:pPr>
        <w:jc w:val="both"/>
        <w:rPr>
          <w:rFonts w:ascii="Arial" w:hAnsi="Arial" w:cs="Arial"/>
          <w:i/>
          <w:sz w:val="22"/>
        </w:rPr>
      </w:pPr>
      <w:r w:rsidRPr="007A62AD">
        <w:rPr>
          <w:rFonts w:ascii="Arial" w:hAnsi="Arial" w:cs="Arial"/>
          <w:i/>
          <w:sz w:val="22"/>
        </w:rPr>
        <w:t>a) a működés és gazdálkodás során a tevékenységeket szabályszerűen, gazdaságosan, hatékonyan, eredményesen hajtsák végre,</w:t>
      </w:r>
    </w:p>
    <w:p w14:paraId="3B0168A4" w14:textId="77777777" w:rsidR="00E75922" w:rsidRPr="007A62AD" w:rsidRDefault="00E75922" w:rsidP="00E75922">
      <w:pPr>
        <w:jc w:val="both"/>
        <w:rPr>
          <w:rFonts w:ascii="Arial" w:hAnsi="Arial" w:cs="Arial"/>
          <w:i/>
          <w:sz w:val="22"/>
        </w:rPr>
      </w:pPr>
      <w:r w:rsidRPr="007A62AD">
        <w:rPr>
          <w:rFonts w:ascii="Arial" w:hAnsi="Arial" w:cs="Arial"/>
          <w:i/>
          <w:sz w:val="22"/>
        </w:rPr>
        <w:t>b) az elszámolási kötelezettségeket teljesítsék, és</w:t>
      </w:r>
    </w:p>
    <w:p w14:paraId="40181EA4" w14:textId="77777777" w:rsidR="00E75922" w:rsidRPr="007A62AD" w:rsidRDefault="00E75922" w:rsidP="00E75922">
      <w:pPr>
        <w:jc w:val="both"/>
        <w:rPr>
          <w:rFonts w:ascii="Arial" w:hAnsi="Arial" w:cs="Arial"/>
          <w:i/>
          <w:sz w:val="22"/>
        </w:rPr>
      </w:pPr>
      <w:r w:rsidRPr="007A62AD">
        <w:rPr>
          <w:rFonts w:ascii="Arial" w:hAnsi="Arial" w:cs="Arial"/>
          <w:i/>
          <w:sz w:val="22"/>
        </w:rPr>
        <w:t>c) megvédjék az erőforrásokat a veszteségektől, károktól és nem rendeltetésszerű használattól.</w:t>
      </w:r>
    </w:p>
    <w:p w14:paraId="785C42DB" w14:textId="77777777" w:rsidR="00E75922" w:rsidRPr="007A62AD" w:rsidRDefault="00E75922" w:rsidP="00E75922">
      <w:pPr>
        <w:jc w:val="both"/>
        <w:rPr>
          <w:rFonts w:ascii="Arial" w:hAnsi="Arial" w:cs="Arial"/>
        </w:rPr>
      </w:pPr>
    </w:p>
    <w:p w14:paraId="067DBE21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 költségvetési szervek belső kontrollrendszerének részletes szabályozását a Bkr. 3 § - 10. §- ai tartalmazzák, mely szerint a belső kontroll rendszer 5 eleme:</w:t>
      </w:r>
    </w:p>
    <w:p w14:paraId="20F3A120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1. Kontrollkörnyezet</w:t>
      </w:r>
    </w:p>
    <w:p w14:paraId="3D7917C0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 xml:space="preserve">2. </w:t>
      </w:r>
      <w:r w:rsidR="009755DE">
        <w:rPr>
          <w:rFonts w:ascii="Arial" w:hAnsi="Arial" w:cs="Arial"/>
        </w:rPr>
        <w:t xml:space="preserve">Integrált </w:t>
      </w:r>
      <w:r w:rsidR="00BF371B">
        <w:rPr>
          <w:rFonts w:ascii="Arial" w:hAnsi="Arial" w:cs="Arial"/>
        </w:rPr>
        <w:t>k</w:t>
      </w:r>
      <w:r w:rsidRPr="007A62AD">
        <w:rPr>
          <w:rFonts w:ascii="Arial" w:hAnsi="Arial" w:cs="Arial"/>
        </w:rPr>
        <w:t>ockázatkezelési rendszer</w:t>
      </w:r>
    </w:p>
    <w:p w14:paraId="6990F365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lastRenderedPageBreak/>
        <w:t>3. Kontrolltevékenységek</w:t>
      </w:r>
    </w:p>
    <w:p w14:paraId="78D650F0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4. Információs és kommunikációs rendszer</w:t>
      </w:r>
    </w:p>
    <w:p w14:paraId="50EC12EE" w14:textId="77777777" w:rsidR="00E75922" w:rsidRPr="007A62AD" w:rsidRDefault="00E75922" w:rsidP="00E75922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5. Nyomon követési rendszer (monitoring)</w:t>
      </w:r>
    </w:p>
    <w:p w14:paraId="0B9F052A" w14:textId="77777777" w:rsidR="00E75922" w:rsidRPr="007A62AD" w:rsidRDefault="00E75922" w:rsidP="00B434DF">
      <w:pPr>
        <w:jc w:val="both"/>
        <w:rPr>
          <w:rFonts w:ascii="Arial" w:hAnsi="Arial" w:cs="Arial"/>
        </w:rPr>
      </w:pPr>
    </w:p>
    <w:p w14:paraId="6E95C16B" w14:textId="77777777" w:rsidR="00B434DF" w:rsidRPr="007A62AD" w:rsidRDefault="00B434DF" w:rsidP="00B434DF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 xml:space="preserve">A </w:t>
      </w:r>
      <w:r w:rsidR="00E75922" w:rsidRPr="007A62AD">
        <w:rPr>
          <w:rFonts w:ascii="Arial" w:hAnsi="Arial" w:cs="Arial"/>
        </w:rPr>
        <w:t>Költségvetési szerv vezetője</w:t>
      </w:r>
      <w:r w:rsidRPr="007A62AD">
        <w:rPr>
          <w:rFonts w:ascii="Arial" w:hAnsi="Arial" w:cs="Arial"/>
        </w:rPr>
        <w:t xml:space="preserve"> ennek értelmében olyan </w:t>
      </w:r>
      <w:r w:rsidRPr="007A62AD">
        <w:rPr>
          <w:rFonts w:ascii="Arial" w:hAnsi="Arial" w:cs="Arial"/>
          <w:u w:val="single"/>
        </w:rPr>
        <w:t>kontrollkörnyezetet</w:t>
      </w:r>
      <w:r w:rsidRPr="007A62AD">
        <w:rPr>
          <w:rFonts w:ascii="Arial" w:hAnsi="Arial" w:cs="Arial"/>
        </w:rPr>
        <w:t xml:space="preserve"> alakít ki melyben:</w:t>
      </w:r>
    </w:p>
    <w:p w14:paraId="022A29AD" w14:textId="77777777" w:rsidR="00B434DF" w:rsidRPr="007A62AD" w:rsidRDefault="00B434DF" w:rsidP="00FC394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világos szervezeti struktúra</w:t>
      </w:r>
    </w:p>
    <w:p w14:paraId="268D7271" w14:textId="77777777" w:rsidR="00B434DF" w:rsidRPr="007A62AD" w:rsidRDefault="00B434DF" w:rsidP="00FC394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egyértelmű felelősségi, hatásköri viszonyok és feladatok</w:t>
      </w:r>
    </w:p>
    <w:p w14:paraId="1B6C336B" w14:textId="77777777" w:rsidR="00B434DF" w:rsidRPr="007A62AD" w:rsidRDefault="00B434DF" w:rsidP="00FC394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meghatározott etikai elvárások a szervezet minden szintjén,</w:t>
      </w:r>
    </w:p>
    <w:p w14:paraId="20FD5C9A" w14:textId="77777777" w:rsidR="00B434DF" w:rsidRPr="007A62AD" w:rsidRDefault="00B434DF" w:rsidP="00FC394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átlátható humanerőforrás-kezelés.</w:t>
      </w:r>
    </w:p>
    <w:p w14:paraId="32D6336C" w14:textId="77777777" w:rsidR="00766A8C" w:rsidRPr="007A62AD" w:rsidRDefault="00766A8C" w:rsidP="00B434DF">
      <w:pPr>
        <w:jc w:val="both"/>
        <w:rPr>
          <w:rFonts w:ascii="Arial" w:hAnsi="Arial" w:cs="Arial"/>
        </w:rPr>
      </w:pPr>
    </w:p>
    <w:p w14:paraId="5E7F87E8" w14:textId="77777777" w:rsidR="00766A8C" w:rsidRPr="007A62AD" w:rsidRDefault="00766A8C" w:rsidP="00766A8C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 xml:space="preserve">Az önkormányzat és a költségvetési szervek működésében rejlő kockázatos területek kiválasztása érdekében </w:t>
      </w:r>
      <w:r w:rsidRPr="007A62AD">
        <w:rPr>
          <w:rFonts w:ascii="Arial" w:hAnsi="Arial" w:cs="Arial"/>
          <w:b/>
          <w:bCs/>
        </w:rPr>
        <w:t xml:space="preserve">a </w:t>
      </w:r>
      <w:r w:rsidRPr="007A62AD">
        <w:rPr>
          <w:rFonts w:ascii="Arial" w:hAnsi="Arial" w:cs="Arial"/>
          <w:b/>
          <w:bCs/>
          <w:u w:val="single"/>
        </w:rPr>
        <w:t>kockázatkezelés</w:t>
      </w:r>
      <w:r w:rsidRPr="007A62AD">
        <w:rPr>
          <w:rFonts w:ascii="Arial" w:hAnsi="Arial" w:cs="Arial"/>
        </w:rPr>
        <w:t xml:space="preserve">, azaz objektív kockázatelemzési módszer </w:t>
      </w:r>
      <w:r w:rsidR="00701EEE">
        <w:rPr>
          <w:rFonts w:ascii="Arial" w:hAnsi="Arial" w:cs="Arial"/>
        </w:rPr>
        <w:t>nem minden</w:t>
      </w:r>
      <w:r w:rsidRPr="007A62AD">
        <w:rPr>
          <w:rFonts w:ascii="Arial" w:hAnsi="Arial" w:cs="Arial"/>
        </w:rPr>
        <w:t xml:space="preserve"> folyamat vonatkozásában került alkalmazásra. </w:t>
      </w:r>
    </w:p>
    <w:p w14:paraId="5D8DA8AB" w14:textId="77777777" w:rsidR="00766A8C" w:rsidRPr="007A62AD" w:rsidRDefault="00766A8C" w:rsidP="00766A8C">
      <w:pPr>
        <w:jc w:val="both"/>
        <w:rPr>
          <w:rFonts w:ascii="Arial" w:hAnsi="Arial" w:cs="Arial"/>
        </w:rPr>
      </w:pPr>
    </w:p>
    <w:p w14:paraId="1E8C9CB6" w14:textId="77777777" w:rsidR="00880FC0" w:rsidRDefault="00766A8C" w:rsidP="00766A8C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 xml:space="preserve">A </w:t>
      </w:r>
      <w:r w:rsidRPr="007A62AD">
        <w:rPr>
          <w:rFonts w:ascii="Arial" w:hAnsi="Arial" w:cs="Arial"/>
          <w:u w:val="single"/>
        </w:rPr>
        <w:t>kontrolltevékenység</w:t>
      </w:r>
      <w:r w:rsidRPr="007A62AD">
        <w:rPr>
          <w:rFonts w:ascii="Arial" w:hAnsi="Arial" w:cs="Arial"/>
        </w:rPr>
        <w:t xml:space="preserve"> lehetőséget biztosít a kockázatok kezelésére, valamint a szervezet céljainak eléréséhez.</w:t>
      </w:r>
      <w:r w:rsidR="00DD42F6" w:rsidRPr="007A62AD">
        <w:rPr>
          <w:rFonts w:ascii="Arial" w:hAnsi="Arial" w:cs="Arial"/>
        </w:rPr>
        <w:t xml:space="preserve"> </w:t>
      </w:r>
    </w:p>
    <w:p w14:paraId="1364BDDF" w14:textId="77777777" w:rsidR="00BF371B" w:rsidRPr="007A62AD" w:rsidRDefault="00BF371B" w:rsidP="00766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Ajánlott az Intergrált kockázatkezelési rendszer kialakítása, működtetése.</w:t>
      </w:r>
    </w:p>
    <w:p w14:paraId="1AD4DFFE" w14:textId="77777777" w:rsidR="00614B2D" w:rsidRPr="007A62AD" w:rsidRDefault="00614B2D" w:rsidP="00766A8C">
      <w:pPr>
        <w:jc w:val="both"/>
        <w:rPr>
          <w:rFonts w:ascii="Arial" w:hAnsi="Arial" w:cs="Arial"/>
        </w:rPr>
      </w:pPr>
    </w:p>
    <w:p w14:paraId="73A1CDCA" w14:textId="77777777" w:rsidR="00880FC0" w:rsidRPr="007A62AD" w:rsidRDefault="00880FC0" w:rsidP="00766A8C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 xml:space="preserve">Az </w:t>
      </w:r>
      <w:r w:rsidRPr="007A62AD">
        <w:rPr>
          <w:rFonts w:ascii="Arial" w:hAnsi="Arial" w:cs="Arial"/>
          <w:u w:val="single"/>
        </w:rPr>
        <w:t>információs és kommunikációs rendszer</w:t>
      </w:r>
      <w:r w:rsidRPr="007A62AD">
        <w:rPr>
          <w:rFonts w:ascii="Arial" w:hAnsi="Arial" w:cs="Arial"/>
        </w:rPr>
        <w:t xml:space="preserve"> kialakítása, működtetése hatékonynak és megbízhatónak ítéli meg az ellenőrzés. A döntések meghozatalára vonatkozó információk megfelelő, időben rendelkezésre állnak az érintett személyek könnyen hozzájuthatnak. </w:t>
      </w:r>
    </w:p>
    <w:p w14:paraId="2160B944" w14:textId="77777777" w:rsidR="00880FC0" w:rsidRPr="007A62AD" w:rsidRDefault="00880FC0" w:rsidP="00766A8C">
      <w:pPr>
        <w:jc w:val="both"/>
        <w:rPr>
          <w:rFonts w:ascii="Arial" w:hAnsi="Arial" w:cs="Arial"/>
        </w:rPr>
      </w:pPr>
    </w:p>
    <w:p w14:paraId="16B03B59" w14:textId="77777777" w:rsidR="002472F1" w:rsidRPr="007A62AD" w:rsidRDefault="00880FC0" w:rsidP="00766A8C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  <w:u w:val="single"/>
        </w:rPr>
        <w:t>Nyomon követési rendszer</w:t>
      </w:r>
      <w:r w:rsidRPr="007A62AD">
        <w:rPr>
          <w:rFonts w:ascii="Arial" w:hAnsi="Arial" w:cs="Arial"/>
        </w:rPr>
        <w:t xml:space="preserve"> (Monitoring), mely a szervezet tevékenységének a célok megvalósításának nyomon követelését biztosító rendszer, </w:t>
      </w:r>
      <w:r w:rsidR="002472F1" w:rsidRPr="007A62AD">
        <w:rPr>
          <w:rFonts w:ascii="Arial" w:hAnsi="Arial" w:cs="Arial"/>
        </w:rPr>
        <w:t>az</w:t>
      </w:r>
      <w:r w:rsidRPr="007A62AD">
        <w:rPr>
          <w:rFonts w:ascii="Arial" w:hAnsi="Arial" w:cs="Arial"/>
        </w:rPr>
        <w:t xml:space="preserve"> operatív tevékenysége során megvalósuló folyamatos és eseti nyomon követésből, valamint operatív tevékenységektől függetlenül működő belső ellenőrzésből állhat.</w:t>
      </w:r>
      <w:r w:rsidR="002472F1" w:rsidRPr="007A62AD">
        <w:rPr>
          <w:rFonts w:ascii="Arial" w:hAnsi="Arial" w:cs="Arial"/>
        </w:rPr>
        <w:t xml:space="preserve"> </w:t>
      </w:r>
      <w:r w:rsidR="00BF371B">
        <w:rPr>
          <w:rFonts w:ascii="Arial" w:hAnsi="Arial" w:cs="Arial"/>
        </w:rPr>
        <w:t>A kialakított ellenőrzési nyomvonal felülvizsgálata és módosítása javasolt.</w:t>
      </w:r>
    </w:p>
    <w:p w14:paraId="01E1906A" w14:textId="77777777" w:rsidR="00E6624B" w:rsidRDefault="00E6624B" w:rsidP="002472F1">
      <w:pPr>
        <w:jc w:val="both"/>
        <w:rPr>
          <w:rFonts w:ascii="Arial" w:hAnsi="Arial" w:cs="Arial"/>
        </w:rPr>
      </w:pPr>
    </w:p>
    <w:p w14:paraId="456DE622" w14:textId="77777777" w:rsidR="007008E8" w:rsidRPr="007008E8" w:rsidRDefault="007008E8" w:rsidP="007008E8">
      <w:pPr>
        <w:jc w:val="both"/>
        <w:rPr>
          <w:rFonts w:ascii="Arial" w:hAnsi="Arial" w:cs="Arial"/>
        </w:rPr>
      </w:pPr>
      <w:r w:rsidRPr="007008E8">
        <w:rPr>
          <w:rFonts w:ascii="Arial" w:hAnsi="Arial" w:cs="Arial"/>
        </w:rPr>
        <w:t xml:space="preserve">A Bkr. 7.§ (4) bekezdése értelmében, a költségvetési szerv vezetője köteles integrált kockázatkezelési rendszer koordinálására szervezeti felelőst kijelölni (2016. október 1 napjától). </w:t>
      </w:r>
    </w:p>
    <w:p w14:paraId="242285F7" w14:textId="77777777" w:rsidR="00051B4F" w:rsidRDefault="007008E8" w:rsidP="007008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7008E8">
        <w:rPr>
          <w:rFonts w:ascii="Arial" w:hAnsi="Arial" w:cs="Arial"/>
        </w:rPr>
        <w:t>integrált kockázatkezelési rendszer koordinálására szervezeti felelős nem került kijelölésre.</w:t>
      </w:r>
    </w:p>
    <w:p w14:paraId="5B7A1684" w14:textId="77777777" w:rsidR="007008E8" w:rsidRPr="002472F1" w:rsidRDefault="007008E8" w:rsidP="007008E8">
      <w:pPr>
        <w:jc w:val="both"/>
        <w:rPr>
          <w:rFonts w:ascii="Arial" w:hAnsi="Arial" w:cs="Arial"/>
        </w:rPr>
      </w:pPr>
    </w:p>
    <w:p w14:paraId="75BEB239" w14:textId="77777777" w:rsidR="00F03341" w:rsidRPr="001318CD" w:rsidRDefault="002C18D6" w:rsidP="00FC394B">
      <w:pPr>
        <w:numPr>
          <w:ilvl w:val="0"/>
          <w:numId w:val="1"/>
        </w:numPr>
        <w:spacing w:line="360" w:lineRule="auto"/>
        <w:jc w:val="both"/>
        <w:outlineLvl w:val="0"/>
        <w:rPr>
          <w:rFonts w:ascii="Bookman Old Style" w:hAnsi="Bookman Old Style" w:cs="Arial"/>
        </w:rPr>
      </w:pPr>
      <w:bookmarkStart w:id="16" w:name="_Toc345230288"/>
      <w:r w:rsidRPr="00B2421A">
        <w:rPr>
          <w:rFonts w:ascii="Bookman Old Style" w:eastAsia="Calibri" w:hAnsi="Bookman Old Style" w:cs="Calibri"/>
          <w:b/>
          <w:sz w:val="22"/>
          <w:szCs w:val="22"/>
        </w:rPr>
        <w:t>A</w:t>
      </w:r>
      <w:r w:rsidRPr="00B2421A">
        <w:rPr>
          <w:rFonts w:ascii="Bookman Old Style" w:eastAsia="Calibri" w:hAnsi="Bookman Old Style" w:cs="Calibri"/>
          <w:b/>
          <w:bCs/>
          <w:sz w:val="22"/>
          <w:szCs w:val="22"/>
        </w:rPr>
        <w:t>z intézkedési tervek megvalósítás</w:t>
      </w:r>
      <w:bookmarkEnd w:id="16"/>
      <w:r w:rsidR="00F03341">
        <w:rPr>
          <w:rFonts w:ascii="Bookman Old Style" w:eastAsia="Calibri" w:hAnsi="Bookman Old Style" w:cs="Calibri"/>
          <w:b/>
          <w:bCs/>
          <w:sz w:val="22"/>
          <w:szCs w:val="22"/>
        </w:rPr>
        <w:t>a</w:t>
      </w:r>
    </w:p>
    <w:p w14:paraId="2FC8209B" w14:textId="77777777" w:rsidR="006E203B" w:rsidRPr="007A62AD" w:rsidRDefault="00F03341" w:rsidP="00F03341">
      <w:pPr>
        <w:jc w:val="both"/>
        <w:rPr>
          <w:rFonts w:ascii="Arial" w:hAnsi="Arial" w:cs="Arial"/>
        </w:rPr>
      </w:pPr>
      <w:r w:rsidRPr="007A62AD">
        <w:rPr>
          <w:rFonts w:ascii="Arial" w:hAnsi="Arial" w:cs="Arial"/>
        </w:rPr>
        <w:t>Az intézkedési tervvel kapcsolatos előírásokat a Bkr. 45. § rendelkezései az irányadó</w:t>
      </w:r>
      <w:r w:rsidR="00E178A8" w:rsidRPr="007A62AD">
        <w:rPr>
          <w:rFonts w:ascii="Arial" w:hAnsi="Arial" w:cs="Arial"/>
        </w:rPr>
        <w:t>a</w:t>
      </w:r>
      <w:r w:rsidRPr="007A62AD">
        <w:rPr>
          <w:rFonts w:ascii="Arial" w:hAnsi="Arial" w:cs="Arial"/>
        </w:rPr>
        <w:t xml:space="preserve">k. </w:t>
      </w:r>
    </w:p>
    <w:p w14:paraId="2B97A35E" w14:textId="77777777" w:rsidR="00FF0941" w:rsidRPr="007A62AD" w:rsidRDefault="00BF371B" w:rsidP="00FF0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2020</w:t>
      </w:r>
      <w:r w:rsidR="00B45291" w:rsidRPr="007A62AD">
        <w:rPr>
          <w:rFonts w:ascii="Arial" w:hAnsi="Arial" w:cs="Arial"/>
        </w:rPr>
        <w:t>. évet érintő ellenőrzés</w:t>
      </w:r>
      <w:r w:rsidR="00F03341" w:rsidRPr="007A62AD">
        <w:rPr>
          <w:rFonts w:ascii="Arial" w:hAnsi="Arial" w:cs="Arial"/>
        </w:rPr>
        <w:t xml:space="preserve"> során a belső ellenőrzés</w:t>
      </w:r>
      <w:r w:rsidR="00A51817">
        <w:rPr>
          <w:rFonts w:ascii="Arial" w:hAnsi="Arial" w:cs="Arial"/>
        </w:rPr>
        <w:t>,</w:t>
      </w:r>
      <w:r w:rsidR="00F03341" w:rsidRPr="007A62AD">
        <w:rPr>
          <w:rFonts w:ascii="Arial" w:hAnsi="Arial" w:cs="Arial"/>
        </w:rPr>
        <w:t xml:space="preserve"> </w:t>
      </w:r>
      <w:r w:rsidR="00CA0850" w:rsidRPr="007A62AD">
        <w:rPr>
          <w:rFonts w:ascii="Arial" w:hAnsi="Arial" w:cs="Arial"/>
        </w:rPr>
        <w:t xml:space="preserve">intézkedési terv kidolgozását javasolta. </w:t>
      </w:r>
      <w:r w:rsidR="00B45291" w:rsidRPr="007A62AD">
        <w:rPr>
          <w:rFonts w:ascii="Arial" w:hAnsi="Arial" w:cs="Arial"/>
        </w:rPr>
        <w:t>A</w:t>
      </w:r>
      <w:r w:rsidR="00FD13BD">
        <w:rPr>
          <w:rFonts w:ascii="Arial" w:hAnsi="Arial" w:cs="Arial"/>
        </w:rPr>
        <w:t xml:space="preserve">z </w:t>
      </w:r>
      <w:r w:rsidR="00B45291" w:rsidRPr="007A62AD">
        <w:rPr>
          <w:rFonts w:ascii="Arial" w:hAnsi="Arial" w:cs="Arial"/>
        </w:rPr>
        <w:t>intézkedési tervet</w:t>
      </w:r>
      <w:r w:rsidR="00A2338E">
        <w:rPr>
          <w:rFonts w:ascii="Arial" w:hAnsi="Arial" w:cs="Arial"/>
        </w:rPr>
        <w:t xml:space="preserve"> </w:t>
      </w:r>
      <w:r w:rsidR="00AF57AD" w:rsidRPr="007A62AD">
        <w:rPr>
          <w:rFonts w:ascii="Arial" w:hAnsi="Arial" w:cs="Arial"/>
        </w:rPr>
        <w:t>az érintett</w:t>
      </w:r>
      <w:r w:rsidR="00A51817">
        <w:rPr>
          <w:rFonts w:ascii="Arial" w:hAnsi="Arial" w:cs="Arial"/>
        </w:rPr>
        <w:t>ettek elkészítették, Mór Város</w:t>
      </w:r>
      <w:r w:rsidR="002331B7">
        <w:rPr>
          <w:rFonts w:ascii="Arial" w:hAnsi="Arial" w:cs="Arial"/>
        </w:rPr>
        <w:t>i Önkormányzat</w:t>
      </w:r>
      <w:r w:rsidR="00A51817">
        <w:rPr>
          <w:rFonts w:ascii="Arial" w:hAnsi="Arial" w:cs="Arial"/>
        </w:rPr>
        <w:t xml:space="preserve"> J</w:t>
      </w:r>
      <w:r w:rsidR="00AF57AD" w:rsidRPr="007A62AD">
        <w:rPr>
          <w:rFonts w:ascii="Arial" w:hAnsi="Arial" w:cs="Arial"/>
        </w:rPr>
        <w:t>egyzője jóváhagyta</w:t>
      </w:r>
      <w:r w:rsidR="00FF0941" w:rsidRPr="007A62AD">
        <w:rPr>
          <w:rFonts w:ascii="Arial" w:hAnsi="Arial" w:cs="Arial"/>
        </w:rPr>
        <w:t xml:space="preserve">. </w:t>
      </w:r>
    </w:p>
    <w:p w14:paraId="73630471" w14:textId="77777777" w:rsidR="00BE2BDE" w:rsidRPr="007A62AD" w:rsidRDefault="00BE2BDE" w:rsidP="00BE2B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AE6534" w14:textId="77777777" w:rsidR="002472F1" w:rsidRPr="007A62AD" w:rsidRDefault="002472F1" w:rsidP="002C18D6">
      <w:pPr>
        <w:ind w:left="2832"/>
        <w:jc w:val="center"/>
        <w:rPr>
          <w:rFonts w:ascii="Arial" w:hAnsi="Arial" w:cs="Arial"/>
          <w:color w:val="000000"/>
        </w:rPr>
      </w:pPr>
    </w:p>
    <w:sectPr w:rsidR="002472F1" w:rsidRPr="007A62AD" w:rsidSect="00916387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5085" w14:textId="77777777" w:rsidR="00370667" w:rsidRDefault="00370667" w:rsidP="00BB7BB6">
      <w:r>
        <w:separator/>
      </w:r>
    </w:p>
  </w:endnote>
  <w:endnote w:type="continuationSeparator" w:id="0">
    <w:p w14:paraId="5C8E0BF8" w14:textId="77777777" w:rsidR="00370667" w:rsidRDefault="00370667" w:rsidP="00B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18F0" w14:textId="77777777" w:rsidR="00370667" w:rsidRDefault="00370667" w:rsidP="00BB7BB6">
      <w:r>
        <w:separator/>
      </w:r>
    </w:p>
  </w:footnote>
  <w:footnote w:type="continuationSeparator" w:id="0">
    <w:p w14:paraId="60E4AD8F" w14:textId="77777777" w:rsidR="00370667" w:rsidRDefault="00370667" w:rsidP="00BB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49E0" w14:textId="77777777" w:rsidR="00BB7BB6" w:rsidRDefault="00A2338E">
    <w:pPr>
      <w:pStyle w:val="lfej"/>
    </w:pPr>
    <w:r>
      <w:t>Német</w:t>
    </w:r>
    <w:r w:rsidR="00E853C7">
      <w:t xml:space="preserve"> </w:t>
    </w:r>
    <w:r w:rsidR="001318CD">
      <w:t>Nemzetiségi Önkormányzat</w:t>
    </w:r>
    <w:r w:rsidR="004007AE">
      <w:t xml:space="preserve"> Mór</w:t>
    </w:r>
    <w:r w:rsidR="00253CCA">
      <w:tab/>
    </w:r>
    <w:r w:rsidR="000015FE">
      <w:tab/>
      <w:t>20</w:t>
    </w:r>
    <w:r w:rsidR="00E77994">
      <w:t>20</w:t>
    </w:r>
    <w:r w:rsidR="00BB7BB6">
      <w:t>. évi éves ellenőrzési jelentés</w:t>
    </w:r>
  </w:p>
  <w:p w14:paraId="174BDDC9" w14:textId="77777777" w:rsidR="00BB7BB6" w:rsidRDefault="00BB7B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6F76"/>
    <w:multiLevelType w:val="multilevel"/>
    <w:tmpl w:val="9A22A49C"/>
    <w:lvl w:ilvl="0">
      <w:start w:val="1"/>
      <w:numFmt w:val="upperRoman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2AD3C1C"/>
    <w:multiLevelType w:val="hybridMultilevel"/>
    <w:tmpl w:val="706AF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CE3"/>
    <w:multiLevelType w:val="hybridMultilevel"/>
    <w:tmpl w:val="BF246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1F9A"/>
    <w:multiLevelType w:val="hybridMultilevel"/>
    <w:tmpl w:val="05201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DB0"/>
    <w:multiLevelType w:val="hybridMultilevel"/>
    <w:tmpl w:val="1F321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215A"/>
    <w:multiLevelType w:val="hybridMultilevel"/>
    <w:tmpl w:val="F74CD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55885"/>
    <w:multiLevelType w:val="hybridMultilevel"/>
    <w:tmpl w:val="CEA07BDE"/>
    <w:lvl w:ilvl="0" w:tplc="AED80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63DA"/>
    <w:multiLevelType w:val="hybridMultilevel"/>
    <w:tmpl w:val="D7C0A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24CA3"/>
    <w:multiLevelType w:val="hybridMultilevel"/>
    <w:tmpl w:val="791A5A40"/>
    <w:lvl w:ilvl="0" w:tplc="AED8FF52">
      <w:start w:val="20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279A"/>
    <w:multiLevelType w:val="hybridMultilevel"/>
    <w:tmpl w:val="687A6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CC3"/>
    <w:multiLevelType w:val="hybridMultilevel"/>
    <w:tmpl w:val="CBC609A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87"/>
    <w:rsid w:val="000012A8"/>
    <w:rsid w:val="000015FE"/>
    <w:rsid w:val="00012C9E"/>
    <w:rsid w:val="0001498F"/>
    <w:rsid w:val="000505EB"/>
    <w:rsid w:val="00051B4F"/>
    <w:rsid w:val="00074C7C"/>
    <w:rsid w:val="00092916"/>
    <w:rsid w:val="000954DD"/>
    <w:rsid w:val="000A4FC9"/>
    <w:rsid w:val="000C58E9"/>
    <w:rsid w:val="000E2A88"/>
    <w:rsid w:val="00102529"/>
    <w:rsid w:val="00117212"/>
    <w:rsid w:val="001318CD"/>
    <w:rsid w:val="00171D7B"/>
    <w:rsid w:val="001967CA"/>
    <w:rsid w:val="001A0DB8"/>
    <w:rsid w:val="001D52C0"/>
    <w:rsid w:val="001D5AD0"/>
    <w:rsid w:val="001E00BD"/>
    <w:rsid w:val="001E01F2"/>
    <w:rsid w:val="001E2C7B"/>
    <w:rsid w:val="001F4DF4"/>
    <w:rsid w:val="002012B9"/>
    <w:rsid w:val="0020362B"/>
    <w:rsid w:val="00210B54"/>
    <w:rsid w:val="0021262F"/>
    <w:rsid w:val="00232E47"/>
    <w:rsid w:val="002331B7"/>
    <w:rsid w:val="00245DD1"/>
    <w:rsid w:val="002472F1"/>
    <w:rsid w:val="00247CF4"/>
    <w:rsid w:val="002509E1"/>
    <w:rsid w:val="00253CCA"/>
    <w:rsid w:val="002737FA"/>
    <w:rsid w:val="00276B01"/>
    <w:rsid w:val="00277CBD"/>
    <w:rsid w:val="0029775F"/>
    <w:rsid w:val="002C18D6"/>
    <w:rsid w:val="002C44D9"/>
    <w:rsid w:val="002D069C"/>
    <w:rsid w:val="002E1EEC"/>
    <w:rsid w:val="002F6DE7"/>
    <w:rsid w:val="00310A5C"/>
    <w:rsid w:val="00312257"/>
    <w:rsid w:val="00323A72"/>
    <w:rsid w:val="003346E9"/>
    <w:rsid w:val="00337E40"/>
    <w:rsid w:val="00350A09"/>
    <w:rsid w:val="00352F7B"/>
    <w:rsid w:val="00356116"/>
    <w:rsid w:val="00370667"/>
    <w:rsid w:val="00374AA8"/>
    <w:rsid w:val="00376624"/>
    <w:rsid w:val="003803E6"/>
    <w:rsid w:val="00394E10"/>
    <w:rsid w:val="003A7495"/>
    <w:rsid w:val="003A753E"/>
    <w:rsid w:val="003B5992"/>
    <w:rsid w:val="003B59A9"/>
    <w:rsid w:val="003D1A95"/>
    <w:rsid w:val="004007AE"/>
    <w:rsid w:val="00406F37"/>
    <w:rsid w:val="0040750E"/>
    <w:rsid w:val="00424A23"/>
    <w:rsid w:val="004434F6"/>
    <w:rsid w:val="00450C1B"/>
    <w:rsid w:val="00456F87"/>
    <w:rsid w:val="00467954"/>
    <w:rsid w:val="004774A2"/>
    <w:rsid w:val="004A2C57"/>
    <w:rsid w:val="004C029B"/>
    <w:rsid w:val="004D3B87"/>
    <w:rsid w:val="00500001"/>
    <w:rsid w:val="00500EBD"/>
    <w:rsid w:val="00504D3D"/>
    <w:rsid w:val="0051378C"/>
    <w:rsid w:val="00522B26"/>
    <w:rsid w:val="00522C46"/>
    <w:rsid w:val="005246F8"/>
    <w:rsid w:val="00526CB8"/>
    <w:rsid w:val="00536864"/>
    <w:rsid w:val="00541078"/>
    <w:rsid w:val="00544491"/>
    <w:rsid w:val="005B3D9E"/>
    <w:rsid w:val="005C089B"/>
    <w:rsid w:val="005C0E9B"/>
    <w:rsid w:val="005C1FA8"/>
    <w:rsid w:val="005D66B8"/>
    <w:rsid w:val="005E0AC6"/>
    <w:rsid w:val="005E3C43"/>
    <w:rsid w:val="005F4B7B"/>
    <w:rsid w:val="005F6C4D"/>
    <w:rsid w:val="006045F2"/>
    <w:rsid w:val="006057B7"/>
    <w:rsid w:val="00614B2D"/>
    <w:rsid w:val="00627A3C"/>
    <w:rsid w:val="006300C7"/>
    <w:rsid w:val="006525E5"/>
    <w:rsid w:val="00656673"/>
    <w:rsid w:val="0066379C"/>
    <w:rsid w:val="006672B8"/>
    <w:rsid w:val="00693AC9"/>
    <w:rsid w:val="006A4961"/>
    <w:rsid w:val="006D2CBF"/>
    <w:rsid w:val="006E203B"/>
    <w:rsid w:val="007008E8"/>
    <w:rsid w:val="00701EEE"/>
    <w:rsid w:val="0073385D"/>
    <w:rsid w:val="00736514"/>
    <w:rsid w:val="00752FDD"/>
    <w:rsid w:val="00766A8C"/>
    <w:rsid w:val="00790D48"/>
    <w:rsid w:val="007A54AE"/>
    <w:rsid w:val="007A5B7C"/>
    <w:rsid w:val="007A62AD"/>
    <w:rsid w:val="007C41EB"/>
    <w:rsid w:val="007D3D45"/>
    <w:rsid w:val="007D6D5F"/>
    <w:rsid w:val="007E7B76"/>
    <w:rsid w:val="00807D74"/>
    <w:rsid w:val="008563AB"/>
    <w:rsid w:val="00860EE8"/>
    <w:rsid w:val="00880FC0"/>
    <w:rsid w:val="008841A3"/>
    <w:rsid w:val="00893F97"/>
    <w:rsid w:val="0089435C"/>
    <w:rsid w:val="00895C67"/>
    <w:rsid w:val="008B0674"/>
    <w:rsid w:val="008B7141"/>
    <w:rsid w:val="008C24D9"/>
    <w:rsid w:val="008F4850"/>
    <w:rsid w:val="00916387"/>
    <w:rsid w:val="0094065F"/>
    <w:rsid w:val="00944240"/>
    <w:rsid w:val="00952AF2"/>
    <w:rsid w:val="00960D95"/>
    <w:rsid w:val="009614B7"/>
    <w:rsid w:val="00974A75"/>
    <w:rsid w:val="009755DE"/>
    <w:rsid w:val="00980CF8"/>
    <w:rsid w:val="00991EA8"/>
    <w:rsid w:val="009A4866"/>
    <w:rsid w:val="009A786F"/>
    <w:rsid w:val="009B51BA"/>
    <w:rsid w:val="009E09D0"/>
    <w:rsid w:val="009F3BCF"/>
    <w:rsid w:val="009F62ED"/>
    <w:rsid w:val="00A05EBE"/>
    <w:rsid w:val="00A17A71"/>
    <w:rsid w:val="00A2338E"/>
    <w:rsid w:val="00A24692"/>
    <w:rsid w:val="00A36E38"/>
    <w:rsid w:val="00A45F9A"/>
    <w:rsid w:val="00A504CF"/>
    <w:rsid w:val="00A51817"/>
    <w:rsid w:val="00A52849"/>
    <w:rsid w:val="00A62EF2"/>
    <w:rsid w:val="00A6621D"/>
    <w:rsid w:val="00A669BC"/>
    <w:rsid w:val="00A90BC3"/>
    <w:rsid w:val="00AA590B"/>
    <w:rsid w:val="00AA5AD2"/>
    <w:rsid w:val="00AA5C2A"/>
    <w:rsid w:val="00AC14FA"/>
    <w:rsid w:val="00AF3349"/>
    <w:rsid w:val="00AF57AD"/>
    <w:rsid w:val="00AF7DCC"/>
    <w:rsid w:val="00B014D8"/>
    <w:rsid w:val="00B11CCD"/>
    <w:rsid w:val="00B151A7"/>
    <w:rsid w:val="00B17B7E"/>
    <w:rsid w:val="00B17EA8"/>
    <w:rsid w:val="00B2421A"/>
    <w:rsid w:val="00B30C3F"/>
    <w:rsid w:val="00B34FDB"/>
    <w:rsid w:val="00B434DF"/>
    <w:rsid w:val="00B45291"/>
    <w:rsid w:val="00B61A3B"/>
    <w:rsid w:val="00B72594"/>
    <w:rsid w:val="00B80B3C"/>
    <w:rsid w:val="00B81FA3"/>
    <w:rsid w:val="00B83547"/>
    <w:rsid w:val="00B960AC"/>
    <w:rsid w:val="00BA047C"/>
    <w:rsid w:val="00BB2DD2"/>
    <w:rsid w:val="00BB4E17"/>
    <w:rsid w:val="00BB7BB6"/>
    <w:rsid w:val="00BD2EED"/>
    <w:rsid w:val="00BE2BDE"/>
    <w:rsid w:val="00BF08BF"/>
    <w:rsid w:val="00BF371B"/>
    <w:rsid w:val="00BF5B83"/>
    <w:rsid w:val="00C106BD"/>
    <w:rsid w:val="00C21E9A"/>
    <w:rsid w:val="00C368D3"/>
    <w:rsid w:val="00C374B8"/>
    <w:rsid w:val="00C37556"/>
    <w:rsid w:val="00C513AE"/>
    <w:rsid w:val="00C5316E"/>
    <w:rsid w:val="00C54813"/>
    <w:rsid w:val="00C74807"/>
    <w:rsid w:val="00C77BA5"/>
    <w:rsid w:val="00C80AC8"/>
    <w:rsid w:val="00CA0850"/>
    <w:rsid w:val="00CB0E90"/>
    <w:rsid w:val="00CB3404"/>
    <w:rsid w:val="00CB45BB"/>
    <w:rsid w:val="00CC2230"/>
    <w:rsid w:val="00D15376"/>
    <w:rsid w:val="00D20AC2"/>
    <w:rsid w:val="00D42949"/>
    <w:rsid w:val="00D47CD3"/>
    <w:rsid w:val="00D624E3"/>
    <w:rsid w:val="00D75369"/>
    <w:rsid w:val="00D81DFC"/>
    <w:rsid w:val="00D92CB4"/>
    <w:rsid w:val="00DA0813"/>
    <w:rsid w:val="00DA60EB"/>
    <w:rsid w:val="00DB7353"/>
    <w:rsid w:val="00DD42F6"/>
    <w:rsid w:val="00DD50A7"/>
    <w:rsid w:val="00DE69D8"/>
    <w:rsid w:val="00DF05CD"/>
    <w:rsid w:val="00DF248C"/>
    <w:rsid w:val="00DF34E8"/>
    <w:rsid w:val="00E04395"/>
    <w:rsid w:val="00E1461B"/>
    <w:rsid w:val="00E178A8"/>
    <w:rsid w:val="00E32E0D"/>
    <w:rsid w:val="00E53D6D"/>
    <w:rsid w:val="00E6624B"/>
    <w:rsid w:val="00E75922"/>
    <w:rsid w:val="00E7615E"/>
    <w:rsid w:val="00E77994"/>
    <w:rsid w:val="00E813A6"/>
    <w:rsid w:val="00E853C7"/>
    <w:rsid w:val="00E86417"/>
    <w:rsid w:val="00EA5701"/>
    <w:rsid w:val="00EA6E87"/>
    <w:rsid w:val="00EE0891"/>
    <w:rsid w:val="00EE6E5E"/>
    <w:rsid w:val="00EF0E32"/>
    <w:rsid w:val="00EF2682"/>
    <w:rsid w:val="00F03341"/>
    <w:rsid w:val="00F12B43"/>
    <w:rsid w:val="00F20A04"/>
    <w:rsid w:val="00F22C8D"/>
    <w:rsid w:val="00F4209E"/>
    <w:rsid w:val="00F45926"/>
    <w:rsid w:val="00F82365"/>
    <w:rsid w:val="00FA23EE"/>
    <w:rsid w:val="00FA38E9"/>
    <w:rsid w:val="00FC394B"/>
    <w:rsid w:val="00FD13BD"/>
    <w:rsid w:val="00FD1A53"/>
    <w:rsid w:val="00FD5A83"/>
    <w:rsid w:val="00FD7C26"/>
    <w:rsid w:val="00FF0941"/>
    <w:rsid w:val="00FF0B7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A97D4"/>
  <w15:chartTrackingRefBased/>
  <w15:docId w15:val="{667CD805-03CC-44A5-B45F-C2181D5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1DFC"/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CB3404"/>
    <w:pPr>
      <w:spacing w:before="100" w:beforeAutospacing="1" w:after="100" w:afterAutospacing="1"/>
      <w:outlineLvl w:val="1"/>
    </w:pPr>
    <w:rPr>
      <w:b/>
      <w:bCs/>
      <w:sz w:val="36"/>
      <w:szCs w:val="36"/>
      <w:lang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uiPriority w:val="34"/>
    <w:qFormat/>
    <w:rsid w:val="00A6621D"/>
    <w:pPr>
      <w:ind w:left="720"/>
      <w:contextualSpacing/>
    </w:pPr>
    <w:rPr>
      <w:lang w:val="en-GB" w:eastAsia="hu-HU"/>
    </w:rPr>
  </w:style>
  <w:style w:type="character" w:styleId="Hiperhivatkozs">
    <w:name w:val="Hyperlink"/>
    <w:rsid w:val="00A6621D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rsid w:val="00A6621D"/>
    <w:rPr>
      <w:rFonts w:ascii="Bookman Old Style" w:hAnsi="Bookman Old Style"/>
      <w:sz w:val="22"/>
    </w:rPr>
  </w:style>
  <w:style w:type="paragraph" w:styleId="TJ2">
    <w:name w:val="toc 2"/>
    <w:basedOn w:val="Norml"/>
    <w:next w:val="Norml"/>
    <w:autoRedefine/>
    <w:semiHidden/>
    <w:rsid w:val="00A6621D"/>
    <w:pPr>
      <w:ind w:left="240"/>
    </w:pPr>
  </w:style>
  <w:style w:type="paragraph" w:styleId="TJ3">
    <w:name w:val="toc 3"/>
    <w:basedOn w:val="Norml"/>
    <w:next w:val="Norml"/>
    <w:autoRedefine/>
    <w:semiHidden/>
    <w:rsid w:val="00A6621D"/>
    <w:pPr>
      <w:ind w:left="480"/>
    </w:pPr>
  </w:style>
  <w:style w:type="paragraph" w:styleId="Bortkcm">
    <w:name w:val="envelope address"/>
    <w:basedOn w:val="Norml"/>
    <w:uiPriority w:val="99"/>
    <w:unhideWhenUsed/>
    <w:rsid w:val="008F485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position w:val="6"/>
    </w:rPr>
  </w:style>
  <w:style w:type="character" w:styleId="Kiemels2">
    <w:name w:val="Strong"/>
    <w:uiPriority w:val="22"/>
    <w:qFormat/>
    <w:rsid w:val="00DA60EB"/>
    <w:rPr>
      <w:b/>
      <w:bCs/>
    </w:rPr>
  </w:style>
  <w:style w:type="character" w:customStyle="1" w:styleId="Cmsor2Char">
    <w:name w:val="Címsor 2 Char"/>
    <w:link w:val="Cmsor2"/>
    <w:uiPriority w:val="9"/>
    <w:rsid w:val="00CB3404"/>
    <w:rPr>
      <w:b/>
      <w:bCs/>
      <w:sz w:val="36"/>
      <w:szCs w:val="36"/>
    </w:rPr>
  </w:style>
  <w:style w:type="paragraph" w:styleId="Buborkszveg">
    <w:name w:val="Balloon Text"/>
    <w:basedOn w:val="Norml"/>
    <w:link w:val="BuborkszvegChar"/>
    <w:rsid w:val="008841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841A3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BB7B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B7BB6"/>
    <w:rPr>
      <w:sz w:val="24"/>
      <w:szCs w:val="24"/>
      <w:lang w:eastAsia="en-US"/>
    </w:rPr>
  </w:style>
  <w:style w:type="paragraph" w:styleId="llb">
    <w:name w:val="footer"/>
    <w:basedOn w:val="Norml"/>
    <w:link w:val="llbChar"/>
    <w:rsid w:val="00BB7B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B7BB6"/>
    <w:rPr>
      <w:sz w:val="24"/>
      <w:szCs w:val="24"/>
      <w:lang w:eastAsia="en-US"/>
    </w:rPr>
  </w:style>
  <w:style w:type="paragraph" w:styleId="Nincstrkz">
    <w:name w:val="No Spacing"/>
    <w:uiPriority w:val="1"/>
    <w:qFormat/>
    <w:rsid w:val="00092916"/>
    <w:rPr>
      <w:sz w:val="24"/>
      <w:szCs w:val="24"/>
      <w:lang w:eastAsia="en-US"/>
    </w:rPr>
  </w:style>
  <w:style w:type="paragraph" w:customStyle="1" w:styleId="a">
    <w:next w:val="Kiemels2"/>
    <w:uiPriority w:val="22"/>
    <w:qFormat/>
    <w:rsid w:val="00C513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BD3D-2EC4-4F14-87A4-F63F26C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2248</Words>
  <Characters>15516</Characters>
  <Application>Microsoft Office Word</Application>
  <DocSecurity>4</DocSecurity>
  <Lines>129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Éves beszámoló</vt:lpstr>
      <vt:lpstr>Éves beszámoló</vt:lpstr>
    </vt:vector>
  </TitlesOfParts>
  <Company/>
  <LinksUpToDate>false</LinksUpToDate>
  <CharactersWithSpaces>17729</CharactersWithSpaces>
  <SharedDoc>false</SharedDoc>
  <HLinks>
    <vt:vector size="102" baseType="variant"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_Toc345230288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_Toc345230287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_Toc345230286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_Toc345230285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_Toc345230284</vt:lpwstr>
      </vt:variant>
      <vt:variant>
        <vt:i4>1638455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_Toc345230283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_Toc345230282</vt:lpwstr>
      </vt:variant>
      <vt:variant>
        <vt:i4>1638455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_Toc345230281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_Toc345230280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_Toc345230279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_Toc345230278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_Toc345230277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_Toc345230276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_Toc345230275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_Toc345230274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_Toc345230273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_Toc345230272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Éves beszámoló</dc:title>
  <dc:subject/>
  <dc:creator>Szalkay István</dc:creator>
  <cp:keywords/>
  <cp:lastModifiedBy>Kőhidi Csilla</cp:lastModifiedBy>
  <cp:revision>2</cp:revision>
  <cp:lastPrinted>2018-03-22T09:45:00Z</cp:lastPrinted>
  <dcterms:created xsi:type="dcterms:W3CDTF">2021-05-21T07:06:00Z</dcterms:created>
  <dcterms:modified xsi:type="dcterms:W3CDTF">2021-05-21T07:06:00Z</dcterms:modified>
</cp:coreProperties>
</file>