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5ED" w:rsidRPr="004C45ED" w:rsidRDefault="004C45ED" w:rsidP="004C45ED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4C45ED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:rsidR="004C45ED" w:rsidRPr="004C45ED" w:rsidRDefault="004C45ED" w:rsidP="004C45ED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4C45ED">
        <w:rPr>
          <w:rFonts w:eastAsia="Calibri" w:cs="Arial"/>
          <w:b/>
          <w:bCs/>
          <w:szCs w:val="24"/>
          <w:lang w:eastAsia="en-US"/>
        </w:rPr>
        <w:t xml:space="preserve">118/2019. (III.27.) Kt. </w:t>
      </w:r>
    </w:p>
    <w:p w:rsidR="004C45ED" w:rsidRPr="004C45ED" w:rsidRDefault="004C45ED" w:rsidP="004C45ED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4C45ED">
        <w:rPr>
          <w:rFonts w:eastAsia="Calibri" w:cs="Arial"/>
          <w:b/>
          <w:bCs/>
          <w:szCs w:val="24"/>
          <w:lang w:eastAsia="en-US"/>
        </w:rPr>
        <w:t>határozata</w:t>
      </w:r>
    </w:p>
    <w:p w:rsidR="004C45ED" w:rsidRPr="004C45ED" w:rsidRDefault="004C45ED" w:rsidP="004C45ED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:rsidR="004C45ED" w:rsidRPr="004C45ED" w:rsidRDefault="004C45ED" w:rsidP="004C45ED">
      <w:pPr>
        <w:tabs>
          <w:tab w:val="left" w:pos="6237"/>
        </w:tabs>
        <w:jc w:val="center"/>
        <w:rPr>
          <w:rFonts w:cs="Arial"/>
          <w:caps/>
          <w:sz w:val="28"/>
          <w:u w:val="single"/>
        </w:rPr>
      </w:pPr>
      <w:bookmarkStart w:id="0" w:name="_Hlk5889659"/>
      <w:r w:rsidRPr="004C45ED">
        <w:rPr>
          <w:rFonts w:cs="Arial"/>
          <w:b/>
          <w:szCs w:val="24"/>
          <w:u w:val="single"/>
        </w:rPr>
        <w:t>a Móri Többcélú Kistérségi Társulás társulási megállapodás módosítása tárgyában</w:t>
      </w:r>
      <w:bookmarkEnd w:id="0"/>
    </w:p>
    <w:p w:rsidR="004C45ED" w:rsidRPr="005B55F5" w:rsidRDefault="004C45ED" w:rsidP="004C45ED">
      <w:pPr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>I. Mór Városi Önkormányzat Képviselő-testülete a Móri Többcélú Kistérségi Társulás 2005. április 20-án megkötött Társulási Megállapodását 2019. május 15-i hatállyal az alábbiak szerint módosítja, mely a XV. számú módosítás:</w:t>
      </w:r>
    </w:p>
    <w:p w:rsidR="004C45ED" w:rsidRPr="005B55F5" w:rsidRDefault="004C45ED" w:rsidP="004C45ED">
      <w:pPr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numPr>
          <w:ilvl w:val="0"/>
          <w:numId w:val="4"/>
        </w:numPr>
        <w:contextualSpacing/>
        <w:jc w:val="left"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>A Megállapodás I./5. pontja az alábbi sorral egészül ki:</w:t>
      </w:r>
    </w:p>
    <w:p w:rsidR="004C45ED" w:rsidRPr="005B55F5" w:rsidRDefault="004C45ED" w:rsidP="004C45ED">
      <w:pPr>
        <w:ind w:left="720"/>
        <w:contextualSpacing/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ind w:left="720"/>
        <w:contextualSpacing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>„2019. január 1-jei adatok szerint:</w:t>
      </w:r>
      <w:r w:rsidRPr="005B55F5">
        <w:rPr>
          <w:rFonts w:eastAsia="Calibri" w:cs="Arial"/>
          <w:szCs w:val="24"/>
          <w:lang w:eastAsia="en-US"/>
        </w:rPr>
        <w:tab/>
      </w:r>
      <w:r w:rsidRPr="005B55F5">
        <w:rPr>
          <w:rFonts w:eastAsia="Calibri" w:cs="Arial"/>
          <w:szCs w:val="24"/>
          <w:lang w:eastAsia="en-US"/>
        </w:rPr>
        <w:tab/>
      </w:r>
      <w:r w:rsidRPr="005B55F5">
        <w:rPr>
          <w:rFonts w:eastAsia="Calibri" w:cs="Arial"/>
          <w:szCs w:val="24"/>
          <w:lang w:eastAsia="en-US"/>
        </w:rPr>
        <w:tab/>
      </w:r>
      <w:r w:rsidRPr="005B55F5">
        <w:rPr>
          <w:rFonts w:eastAsia="Calibri" w:cs="Arial"/>
          <w:szCs w:val="24"/>
          <w:lang w:eastAsia="en-US"/>
        </w:rPr>
        <w:tab/>
        <w:t>34.517 fő”</w:t>
      </w:r>
    </w:p>
    <w:p w:rsidR="004C45ED" w:rsidRPr="005B55F5" w:rsidRDefault="004C45ED" w:rsidP="004C45ED">
      <w:pPr>
        <w:ind w:left="720"/>
        <w:contextualSpacing/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numPr>
          <w:ilvl w:val="0"/>
          <w:numId w:val="4"/>
        </w:numPr>
        <w:contextualSpacing/>
        <w:jc w:val="left"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 xml:space="preserve">A Megállapodás V./4.1. pontjában a „szakmai, az ágazati közszolgáltatási feladatokat előkészítő szakmai és” szövegrész hatályát veszti. </w:t>
      </w:r>
    </w:p>
    <w:p w:rsidR="004C45ED" w:rsidRPr="005B55F5" w:rsidRDefault="004C45ED" w:rsidP="004C45ED">
      <w:pPr>
        <w:ind w:left="720"/>
        <w:contextualSpacing/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numPr>
          <w:ilvl w:val="0"/>
          <w:numId w:val="4"/>
        </w:numPr>
        <w:contextualSpacing/>
        <w:jc w:val="left"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>A Megállapodás VI. fejezete címében a „bizottságai” szövegrész helyébe a „bizottsága” szöveg lép.</w:t>
      </w:r>
    </w:p>
    <w:p w:rsidR="004C45ED" w:rsidRPr="005B55F5" w:rsidRDefault="004C45ED" w:rsidP="004C45ED">
      <w:pPr>
        <w:ind w:left="720"/>
        <w:contextualSpacing/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numPr>
          <w:ilvl w:val="0"/>
          <w:numId w:val="4"/>
        </w:numPr>
        <w:contextualSpacing/>
        <w:jc w:val="left"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 xml:space="preserve">A Megállapodás </w:t>
      </w:r>
      <w:proofErr w:type="gramStart"/>
      <w:r w:rsidRPr="005B55F5">
        <w:rPr>
          <w:rFonts w:eastAsia="Calibri" w:cs="Arial"/>
          <w:szCs w:val="24"/>
          <w:lang w:eastAsia="en-US"/>
        </w:rPr>
        <w:t>VI./</w:t>
      </w:r>
      <w:proofErr w:type="gramEnd"/>
      <w:r w:rsidRPr="005B55F5">
        <w:rPr>
          <w:rFonts w:eastAsia="Calibri" w:cs="Arial"/>
          <w:szCs w:val="24"/>
          <w:lang w:eastAsia="en-US"/>
        </w:rPr>
        <w:t>3. pontja hatályát veszti.</w:t>
      </w:r>
    </w:p>
    <w:p w:rsidR="004C45ED" w:rsidRPr="005B55F5" w:rsidRDefault="004C45ED" w:rsidP="004C45ED">
      <w:pPr>
        <w:ind w:left="720"/>
        <w:contextualSpacing/>
        <w:jc w:val="left"/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numPr>
          <w:ilvl w:val="0"/>
          <w:numId w:val="4"/>
        </w:numPr>
        <w:contextualSpacing/>
        <w:jc w:val="left"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 xml:space="preserve">A Megállapodás </w:t>
      </w:r>
      <w:proofErr w:type="gramStart"/>
      <w:r w:rsidRPr="005B55F5">
        <w:rPr>
          <w:rFonts w:eastAsia="Calibri" w:cs="Arial"/>
          <w:szCs w:val="24"/>
          <w:lang w:eastAsia="en-US"/>
        </w:rPr>
        <w:t>VI./</w:t>
      </w:r>
      <w:proofErr w:type="gramEnd"/>
      <w:r w:rsidRPr="005B55F5">
        <w:rPr>
          <w:rFonts w:eastAsia="Calibri" w:cs="Arial"/>
          <w:szCs w:val="24"/>
          <w:lang w:eastAsia="en-US"/>
        </w:rPr>
        <w:t>5.3.1., 5.3.1.1. és 5.3.1.2. pontjai helyébe a következő rendelkezés lép:</w:t>
      </w:r>
    </w:p>
    <w:p w:rsidR="004C45ED" w:rsidRPr="005B55F5" w:rsidRDefault="004C45ED" w:rsidP="004C45ED">
      <w:pPr>
        <w:ind w:left="720"/>
        <w:contextualSpacing/>
        <w:jc w:val="left"/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tabs>
          <w:tab w:val="left" w:pos="567"/>
        </w:tabs>
        <w:ind w:left="1701" w:hanging="1417"/>
        <w:rPr>
          <w:rFonts w:cs="Arial"/>
          <w:szCs w:val="24"/>
        </w:rPr>
      </w:pPr>
      <w:r w:rsidRPr="005B55F5">
        <w:rPr>
          <w:rFonts w:cs="Arial"/>
          <w:szCs w:val="24"/>
        </w:rPr>
        <w:tab/>
        <w:t>„5.3.1.</w:t>
      </w:r>
      <w:r w:rsidRPr="005B55F5">
        <w:rPr>
          <w:rFonts w:cs="Arial"/>
          <w:szCs w:val="24"/>
        </w:rPr>
        <w:tab/>
        <w:t>A Polgármesteri Hivatal munkaszervezeti feladatai ellátásához a társult településeket hozzájárulási kötelezettség terheli, amelynek finanszírozása az alábbiak szerint történik:</w:t>
      </w:r>
    </w:p>
    <w:p w:rsidR="004C45ED" w:rsidRPr="005B55F5" w:rsidRDefault="004C45ED" w:rsidP="004C45ED">
      <w:pPr>
        <w:tabs>
          <w:tab w:val="left" w:pos="0"/>
          <w:tab w:val="left" w:pos="2694"/>
        </w:tabs>
        <w:ind w:left="2694" w:hanging="993"/>
        <w:rPr>
          <w:rFonts w:cs="Arial"/>
          <w:szCs w:val="24"/>
        </w:rPr>
      </w:pPr>
      <w:r w:rsidRPr="005B55F5">
        <w:rPr>
          <w:rFonts w:cs="Arial"/>
          <w:szCs w:val="24"/>
        </w:rPr>
        <w:t>5.3.1.1.</w:t>
      </w:r>
      <w:r w:rsidRPr="005B55F5">
        <w:rPr>
          <w:rFonts w:cs="Arial"/>
          <w:szCs w:val="24"/>
        </w:rPr>
        <w:tab/>
        <w:t>A Társulás által fenntartott óvoda gazdálkodási, munkaügyi és jogi feladataihoz kapcsolódóan a megállapított hozzájárulási kötelezettség 400,-Ft/állandó lakos.</w:t>
      </w:r>
    </w:p>
    <w:p w:rsidR="004C45ED" w:rsidRPr="005B55F5" w:rsidRDefault="004C45ED" w:rsidP="004C45ED">
      <w:pPr>
        <w:tabs>
          <w:tab w:val="left" w:pos="0"/>
          <w:tab w:val="left" w:pos="2694"/>
        </w:tabs>
        <w:ind w:left="2694" w:hanging="993"/>
        <w:rPr>
          <w:rFonts w:cs="Arial"/>
          <w:szCs w:val="24"/>
        </w:rPr>
      </w:pPr>
    </w:p>
    <w:p w:rsidR="004C45ED" w:rsidRPr="005B55F5" w:rsidRDefault="004C45ED" w:rsidP="004C45ED">
      <w:pPr>
        <w:tabs>
          <w:tab w:val="left" w:pos="0"/>
          <w:tab w:val="left" w:pos="2694"/>
        </w:tabs>
        <w:ind w:left="2694" w:hanging="993"/>
        <w:rPr>
          <w:rFonts w:cs="Arial"/>
          <w:szCs w:val="24"/>
        </w:rPr>
      </w:pPr>
      <w:r w:rsidRPr="005B55F5">
        <w:rPr>
          <w:rFonts w:cs="Arial"/>
          <w:szCs w:val="24"/>
        </w:rPr>
        <w:t>5.3.1.2.</w:t>
      </w:r>
      <w:r w:rsidRPr="005B55F5">
        <w:rPr>
          <w:rFonts w:cs="Arial"/>
          <w:szCs w:val="24"/>
        </w:rPr>
        <w:tab/>
        <w:t>Az óvodafenntartásban nem érintett települések vonatkozásában a munkaszervezeti feladatok ellátásához kapcsolódóan a hozzájárulási kötelezettség 100,-Ft/állandó lakos.”</w:t>
      </w:r>
    </w:p>
    <w:p w:rsidR="004C45ED" w:rsidRPr="005B55F5" w:rsidRDefault="004C45ED" w:rsidP="004C45ED">
      <w:pPr>
        <w:tabs>
          <w:tab w:val="left" w:pos="0"/>
          <w:tab w:val="left" w:pos="2694"/>
        </w:tabs>
        <w:ind w:left="2694" w:hanging="993"/>
        <w:rPr>
          <w:rFonts w:cs="Arial"/>
          <w:szCs w:val="24"/>
        </w:rPr>
      </w:pPr>
    </w:p>
    <w:p w:rsidR="004C45ED" w:rsidRPr="005B55F5" w:rsidRDefault="004C45ED" w:rsidP="004C45ED">
      <w:pPr>
        <w:numPr>
          <w:ilvl w:val="0"/>
          <w:numId w:val="4"/>
        </w:numPr>
        <w:contextualSpacing/>
        <w:jc w:val="left"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 xml:space="preserve">A Megállapodás </w:t>
      </w:r>
      <w:proofErr w:type="gramStart"/>
      <w:r w:rsidRPr="005B55F5">
        <w:rPr>
          <w:rFonts w:eastAsia="Calibri" w:cs="Arial"/>
          <w:szCs w:val="24"/>
          <w:lang w:eastAsia="en-US"/>
        </w:rPr>
        <w:t>VII./</w:t>
      </w:r>
      <w:proofErr w:type="gramEnd"/>
      <w:r w:rsidRPr="005B55F5">
        <w:rPr>
          <w:rFonts w:eastAsia="Calibri" w:cs="Arial"/>
          <w:szCs w:val="24"/>
          <w:lang w:eastAsia="en-US"/>
        </w:rPr>
        <w:t>2.1. pontjában a „bizottsága(i)” szövegrész hatályát veszti.</w:t>
      </w:r>
    </w:p>
    <w:p w:rsidR="004C45ED" w:rsidRPr="005B55F5" w:rsidRDefault="004C45ED" w:rsidP="004C45ED">
      <w:pPr>
        <w:ind w:left="720"/>
        <w:contextualSpacing/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numPr>
          <w:ilvl w:val="0"/>
          <w:numId w:val="4"/>
        </w:numPr>
        <w:contextualSpacing/>
        <w:jc w:val="left"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 xml:space="preserve">A Megállapodás </w:t>
      </w:r>
      <w:proofErr w:type="gramStart"/>
      <w:r w:rsidRPr="005B55F5">
        <w:rPr>
          <w:rFonts w:eastAsia="Calibri" w:cs="Arial"/>
          <w:szCs w:val="24"/>
          <w:lang w:eastAsia="en-US"/>
        </w:rPr>
        <w:t>VII./</w:t>
      </w:r>
      <w:proofErr w:type="gramEnd"/>
      <w:r w:rsidRPr="005B55F5">
        <w:rPr>
          <w:rFonts w:eastAsia="Calibri" w:cs="Arial"/>
          <w:szCs w:val="24"/>
          <w:lang w:eastAsia="en-US"/>
        </w:rPr>
        <w:t>2.3. pontjában a „bizottságok” szövegrész helyébe a „bizottság” szöveg lép.</w:t>
      </w:r>
    </w:p>
    <w:p w:rsidR="004C45ED" w:rsidRPr="005B55F5" w:rsidRDefault="004C45ED" w:rsidP="004C45ED">
      <w:pPr>
        <w:ind w:left="720"/>
        <w:contextualSpacing/>
        <w:jc w:val="left"/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numPr>
          <w:ilvl w:val="0"/>
          <w:numId w:val="4"/>
        </w:numPr>
        <w:contextualSpacing/>
        <w:jc w:val="left"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 xml:space="preserve">A Megállapodás </w:t>
      </w:r>
      <w:proofErr w:type="gramStart"/>
      <w:r w:rsidRPr="005B55F5">
        <w:rPr>
          <w:rFonts w:eastAsia="Calibri" w:cs="Arial"/>
          <w:szCs w:val="24"/>
          <w:lang w:eastAsia="en-US"/>
        </w:rPr>
        <w:t>IX./</w:t>
      </w:r>
      <w:proofErr w:type="gramEnd"/>
      <w:r w:rsidRPr="005B55F5">
        <w:rPr>
          <w:rFonts w:eastAsia="Calibri" w:cs="Arial"/>
          <w:szCs w:val="24"/>
          <w:lang w:eastAsia="en-US"/>
        </w:rPr>
        <w:t>7.3.3. pontja hatályát veszti.</w:t>
      </w:r>
    </w:p>
    <w:p w:rsidR="004C45ED" w:rsidRPr="005B55F5" w:rsidRDefault="004C45ED" w:rsidP="004C45ED">
      <w:pPr>
        <w:ind w:left="720"/>
        <w:contextualSpacing/>
        <w:jc w:val="left"/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numPr>
          <w:ilvl w:val="0"/>
          <w:numId w:val="4"/>
        </w:numPr>
        <w:contextualSpacing/>
        <w:jc w:val="left"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>A Megállapodás X./15.2.1. pontja helyébe a következő rendelkezés lép:</w:t>
      </w:r>
    </w:p>
    <w:p w:rsidR="004C45ED" w:rsidRPr="005B55F5" w:rsidRDefault="004C45ED" w:rsidP="004C45ED">
      <w:pPr>
        <w:ind w:left="720"/>
        <w:contextualSpacing/>
        <w:jc w:val="left"/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ind w:left="720"/>
        <w:contextualSpacing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 xml:space="preserve">„15.2.1. A többletköltségek megállapítása során a társult Önkormányzatok megállapodnak abban, hogy az adott székhelyintézmény – tagintézmény – </w:t>
      </w:r>
      <w:r w:rsidRPr="005B55F5">
        <w:rPr>
          <w:rFonts w:eastAsia="Calibri" w:cs="Arial"/>
          <w:szCs w:val="24"/>
          <w:lang w:eastAsia="en-US"/>
        </w:rPr>
        <w:lastRenderedPageBreak/>
        <w:t>állami költségvetési hozzájárulásán felüli további költségeket az intézmény működési területe által érintett Önkormányzatok finanszírozzák.”</w:t>
      </w:r>
    </w:p>
    <w:p w:rsidR="004C45ED" w:rsidRPr="005B55F5" w:rsidRDefault="004C45ED" w:rsidP="004C45ED">
      <w:pPr>
        <w:ind w:left="720"/>
        <w:contextualSpacing/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numPr>
          <w:ilvl w:val="0"/>
          <w:numId w:val="4"/>
        </w:numPr>
        <w:contextualSpacing/>
        <w:jc w:val="left"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>A Megállapodás X./16.10. pontja hatályát veszti.</w:t>
      </w:r>
    </w:p>
    <w:p w:rsidR="004C45ED" w:rsidRPr="005B55F5" w:rsidRDefault="004C45ED" w:rsidP="004C45ED">
      <w:pPr>
        <w:ind w:left="720"/>
        <w:contextualSpacing/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numPr>
          <w:ilvl w:val="0"/>
          <w:numId w:val="4"/>
        </w:numPr>
        <w:contextualSpacing/>
        <w:jc w:val="left"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>A Megállapodás XV. fejezete a következő 21. ponttal egészül ki:</w:t>
      </w:r>
    </w:p>
    <w:p w:rsidR="004C45ED" w:rsidRPr="005B55F5" w:rsidRDefault="004C45ED" w:rsidP="004C45ED">
      <w:pPr>
        <w:ind w:left="720"/>
        <w:contextualSpacing/>
        <w:jc w:val="left"/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ind w:left="720"/>
        <w:contextualSpacing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 xml:space="preserve"> „21.</w:t>
      </w:r>
      <w:r w:rsidRPr="005B55F5">
        <w:rPr>
          <w:rFonts w:eastAsia="Calibri" w:cs="Arial"/>
          <w:szCs w:val="24"/>
          <w:lang w:eastAsia="en-US"/>
        </w:rPr>
        <w:tab/>
        <w:t>A Társulási Megállapodás XV. számú módosítása 2019. május 15. napján lép hatályba.”</w:t>
      </w:r>
    </w:p>
    <w:p w:rsidR="004C45ED" w:rsidRPr="005B55F5" w:rsidRDefault="004C45ED" w:rsidP="004C45ED">
      <w:pPr>
        <w:ind w:left="720"/>
        <w:contextualSpacing/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numPr>
          <w:ilvl w:val="0"/>
          <w:numId w:val="4"/>
        </w:numPr>
        <w:contextualSpacing/>
        <w:jc w:val="left"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>A Megállapodás 4. számú melléklete a következő oszloppal egészül ki:</w:t>
      </w:r>
    </w:p>
    <w:p w:rsidR="004C45ED" w:rsidRPr="005B55F5" w:rsidRDefault="004C45ED" w:rsidP="004C45ED">
      <w:pPr>
        <w:ind w:left="720"/>
        <w:contextualSpacing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>„</w:t>
      </w:r>
    </w:p>
    <w:tbl>
      <w:tblPr>
        <w:tblW w:w="0" w:type="auto"/>
        <w:tblInd w:w="1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</w:tblGrid>
      <w:tr w:rsidR="004C45ED" w:rsidRPr="005B55F5" w:rsidTr="006075C5"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45ED" w:rsidRPr="005B55F5" w:rsidRDefault="004C45ED" w:rsidP="006075C5">
            <w:pPr>
              <w:jc w:val="center"/>
              <w:rPr>
                <w:rFonts w:cs="Arial"/>
                <w:b/>
                <w:bCs/>
                <w:i/>
                <w:sz w:val="20"/>
              </w:rPr>
            </w:pPr>
            <w:r w:rsidRPr="005B55F5">
              <w:rPr>
                <w:rFonts w:cs="Arial"/>
                <w:b/>
                <w:bCs/>
                <w:i/>
                <w:sz w:val="20"/>
              </w:rPr>
              <w:t>lakosságszám</w:t>
            </w:r>
          </w:p>
          <w:p w:rsidR="004C45ED" w:rsidRPr="005B55F5" w:rsidRDefault="004C45ED" w:rsidP="006075C5">
            <w:pPr>
              <w:jc w:val="center"/>
              <w:rPr>
                <w:rFonts w:cs="Arial"/>
                <w:b/>
                <w:bCs/>
                <w:i/>
                <w:sz w:val="20"/>
              </w:rPr>
            </w:pPr>
            <w:r w:rsidRPr="005B55F5">
              <w:rPr>
                <w:rFonts w:cs="Arial"/>
                <w:b/>
                <w:bCs/>
                <w:i/>
                <w:sz w:val="20"/>
              </w:rPr>
              <w:t>2019. január 1.</w:t>
            </w:r>
          </w:p>
        </w:tc>
      </w:tr>
      <w:tr w:rsidR="004C45ED" w:rsidRPr="005B55F5" w:rsidTr="006075C5"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45ED" w:rsidRPr="005B55F5" w:rsidRDefault="004C45ED" w:rsidP="006075C5">
            <w:pPr>
              <w:jc w:val="center"/>
              <w:rPr>
                <w:rFonts w:cs="Arial"/>
                <w:i/>
                <w:sz w:val="20"/>
              </w:rPr>
            </w:pPr>
            <w:r w:rsidRPr="005B55F5">
              <w:rPr>
                <w:rFonts w:cs="Arial"/>
                <w:i/>
                <w:sz w:val="20"/>
              </w:rPr>
              <w:t>3 131</w:t>
            </w:r>
          </w:p>
        </w:tc>
      </w:tr>
      <w:tr w:rsidR="004C45ED" w:rsidRPr="005B55F5" w:rsidTr="006075C5"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45ED" w:rsidRPr="005B55F5" w:rsidRDefault="004C45ED" w:rsidP="006075C5">
            <w:pPr>
              <w:jc w:val="center"/>
              <w:rPr>
                <w:rFonts w:cs="Arial"/>
                <w:i/>
                <w:sz w:val="20"/>
              </w:rPr>
            </w:pPr>
            <w:r w:rsidRPr="005B55F5">
              <w:rPr>
                <w:rFonts w:cs="Arial"/>
                <w:i/>
                <w:sz w:val="20"/>
              </w:rPr>
              <w:t>954</w:t>
            </w:r>
          </w:p>
        </w:tc>
      </w:tr>
      <w:tr w:rsidR="004C45ED" w:rsidRPr="005B55F5" w:rsidTr="006075C5"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45ED" w:rsidRPr="005B55F5" w:rsidRDefault="004C45ED" w:rsidP="006075C5">
            <w:pPr>
              <w:jc w:val="center"/>
              <w:rPr>
                <w:rFonts w:cs="Arial"/>
                <w:i/>
                <w:sz w:val="20"/>
              </w:rPr>
            </w:pPr>
            <w:r w:rsidRPr="005B55F5">
              <w:rPr>
                <w:rFonts w:cs="Arial"/>
                <w:i/>
                <w:sz w:val="20"/>
              </w:rPr>
              <w:t>4 058</w:t>
            </w:r>
          </w:p>
        </w:tc>
      </w:tr>
      <w:tr w:rsidR="004C45ED" w:rsidRPr="005B55F5" w:rsidTr="006075C5"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45ED" w:rsidRPr="005B55F5" w:rsidRDefault="004C45ED" w:rsidP="006075C5">
            <w:pPr>
              <w:jc w:val="center"/>
              <w:rPr>
                <w:rFonts w:cs="Arial"/>
                <w:i/>
                <w:sz w:val="20"/>
              </w:rPr>
            </w:pPr>
            <w:r w:rsidRPr="005B55F5">
              <w:rPr>
                <w:rFonts w:cs="Arial"/>
                <w:i/>
                <w:sz w:val="20"/>
              </w:rPr>
              <w:t>1 182</w:t>
            </w:r>
          </w:p>
        </w:tc>
      </w:tr>
      <w:tr w:rsidR="004C45ED" w:rsidRPr="005B55F5" w:rsidTr="006075C5"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45ED" w:rsidRPr="005B55F5" w:rsidRDefault="004C45ED" w:rsidP="006075C5">
            <w:pPr>
              <w:jc w:val="center"/>
              <w:rPr>
                <w:rFonts w:cs="Arial"/>
                <w:i/>
                <w:sz w:val="20"/>
              </w:rPr>
            </w:pPr>
            <w:r w:rsidRPr="005B55F5">
              <w:rPr>
                <w:rFonts w:cs="Arial"/>
                <w:i/>
                <w:sz w:val="20"/>
              </w:rPr>
              <w:t>1 455</w:t>
            </w:r>
          </w:p>
        </w:tc>
      </w:tr>
      <w:tr w:rsidR="004C45ED" w:rsidRPr="005B55F5" w:rsidTr="006075C5"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45ED" w:rsidRPr="005B55F5" w:rsidRDefault="004C45ED" w:rsidP="006075C5">
            <w:pPr>
              <w:jc w:val="center"/>
              <w:rPr>
                <w:rFonts w:cs="Arial"/>
                <w:i/>
                <w:sz w:val="20"/>
              </w:rPr>
            </w:pPr>
            <w:r w:rsidRPr="005B55F5">
              <w:rPr>
                <w:rFonts w:cs="Arial"/>
                <w:i/>
                <w:sz w:val="20"/>
              </w:rPr>
              <w:t>2 036</w:t>
            </w:r>
          </w:p>
        </w:tc>
      </w:tr>
      <w:tr w:rsidR="004C45ED" w:rsidRPr="005B55F5" w:rsidTr="006075C5"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45ED" w:rsidRPr="005B55F5" w:rsidRDefault="004C45ED" w:rsidP="006075C5">
            <w:pPr>
              <w:jc w:val="center"/>
              <w:rPr>
                <w:rFonts w:cs="Arial"/>
                <w:i/>
                <w:sz w:val="20"/>
              </w:rPr>
            </w:pPr>
            <w:r w:rsidRPr="005B55F5">
              <w:rPr>
                <w:rFonts w:cs="Arial"/>
                <w:i/>
                <w:sz w:val="20"/>
              </w:rPr>
              <w:t>906</w:t>
            </w:r>
          </w:p>
        </w:tc>
      </w:tr>
      <w:tr w:rsidR="004C45ED" w:rsidRPr="005B55F5" w:rsidTr="006075C5"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45ED" w:rsidRPr="005B55F5" w:rsidRDefault="004C45ED" w:rsidP="006075C5">
            <w:pPr>
              <w:jc w:val="center"/>
              <w:rPr>
                <w:rFonts w:cs="Arial"/>
                <w:i/>
                <w:sz w:val="20"/>
              </w:rPr>
            </w:pPr>
            <w:r w:rsidRPr="005B55F5">
              <w:rPr>
                <w:rFonts w:cs="Arial"/>
                <w:i/>
                <w:sz w:val="20"/>
              </w:rPr>
              <w:t>1 523</w:t>
            </w:r>
          </w:p>
        </w:tc>
      </w:tr>
      <w:tr w:rsidR="004C45ED" w:rsidRPr="005B55F5" w:rsidTr="006075C5"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45ED" w:rsidRPr="005B55F5" w:rsidRDefault="004C45ED" w:rsidP="006075C5">
            <w:pPr>
              <w:jc w:val="center"/>
              <w:rPr>
                <w:rFonts w:cs="Arial"/>
                <w:i/>
                <w:sz w:val="20"/>
              </w:rPr>
            </w:pPr>
            <w:r w:rsidRPr="005B55F5">
              <w:rPr>
                <w:rFonts w:cs="Arial"/>
                <w:i/>
                <w:sz w:val="20"/>
              </w:rPr>
              <w:t>1 597</w:t>
            </w:r>
          </w:p>
        </w:tc>
      </w:tr>
      <w:tr w:rsidR="004C45ED" w:rsidRPr="005B55F5" w:rsidTr="006075C5"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45ED" w:rsidRPr="005B55F5" w:rsidRDefault="004C45ED" w:rsidP="006075C5">
            <w:pPr>
              <w:jc w:val="center"/>
              <w:rPr>
                <w:rFonts w:cs="Arial"/>
                <w:i/>
                <w:sz w:val="20"/>
              </w:rPr>
            </w:pPr>
            <w:r w:rsidRPr="005B55F5">
              <w:rPr>
                <w:rFonts w:cs="Arial"/>
                <w:i/>
                <w:sz w:val="20"/>
              </w:rPr>
              <w:t>13 985</w:t>
            </w:r>
          </w:p>
        </w:tc>
      </w:tr>
      <w:tr w:rsidR="004C45ED" w:rsidRPr="005B55F5" w:rsidTr="006075C5"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45ED" w:rsidRPr="005B55F5" w:rsidRDefault="004C45ED" w:rsidP="006075C5">
            <w:pPr>
              <w:jc w:val="center"/>
              <w:rPr>
                <w:rFonts w:cs="Arial"/>
                <w:i/>
                <w:sz w:val="20"/>
              </w:rPr>
            </w:pPr>
            <w:r w:rsidRPr="005B55F5">
              <w:rPr>
                <w:rFonts w:cs="Arial"/>
                <w:i/>
                <w:sz w:val="20"/>
              </w:rPr>
              <w:t>644</w:t>
            </w:r>
          </w:p>
        </w:tc>
      </w:tr>
      <w:tr w:rsidR="004C45ED" w:rsidRPr="005B55F5" w:rsidTr="006075C5"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45ED" w:rsidRPr="005B55F5" w:rsidRDefault="004C45ED" w:rsidP="006075C5">
            <w:pPr>
              <w:jc w:val="center"/>
              <w:rPr>
                <w:rFonts w:cs="Arial"/>
                <w:i/>
                <w:sz w:val="20"/>
              </w:rPr>
            </w:pPr>
            <w:r w:rsidRPr="005B55F5">
              <w:rPr>
                <w:rFonts w:cs="Arial"/>
                <w:i/>
                <w:sz w:val="20"/>
              </w:rPr>
              <w:t>2 513</w:t>
            </w:r>
          </w:p>
        </w:tc>
      </w:tr>
      <w:tr w:rsidR="004C45ED" w:rsidRPr="005B55F5" w:rsidTr="006075C5"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45ED" w:rsidRPr="005B55F5" w:rsidRDefault="004C45ED" w:rsidP="006075C5">
            <w:pPr>
              <w:jc w:val="center"/>
              <w:rPr>
                <w:rFonts w:cs="Arial"/>
                <w:i/>
                <w:sz w:val="20"/>
              </w:rPr>
            </w:pPr>
            <w:r w:rsidRPr="005B55F5">
              <w:rPr>
                <w:rFonts w:cs="Arial"/>
                <w:i/>
                <w:sz w:val="20"/>
              </w:rPr>
              <w:t>533</w:t>
            </w:r>
          </w:p>
        </w:tc>
      </w:tr>
    </w:tbl>
    <w:p w:rsidR="004C45ED" w:rsidRPr="005B55F5" w:rsidRDefault="004C45ED" w:rsidP="004C45ED">
      <w:pPr>
        <w:ind w:left="720"/>
        <w:contextualSpacing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>„</w:t>
      </w:r>
    </w:p>
    <w:p w:rsidR="004C45ED" w:rsidRPr="005B55F5" w:rsidRDefault="004C45ED" w:rsidP="004C45ED">
      <w:pPr>
        <w:ind w:left="720"/>
        <w:contextualSpacing/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>II. A Képviselő-testület a Társulási Megállapodást az I. pontban foglalt módosítással az előterjesztés 1. számú mellékletében foglaltak szerint egységes szerkezetbe foglalja.</w:t>
      </w:r>
    </w:p>
    <w:p w:rsidR="004C45ED" w:rsidRPr="005B55F5" w:rsidRDefault="004C45ED" w:rsidP="004C45ED">
      <w:pPr>
        <w:jc w:val="left"/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>III. A Képviselő-testület felhatalmazza a polgármestert és a jegyzőt a Móri Többcélú Kistérségi Társulás – a jelen határozatban rögzítetteknek megfelelő – módosításokkal egységes szerkezetbe foglalt Társulási Megállapodásának aláírására.</w:t>
      </w:r>
    </w:p>
    <w:p w:rsidR="004C45ED" w:rsidRPr="005B55F5" w:rsidRDefault="004C45ED" w:rsidP="004C45ED">
      <w:pPr>
        <w:jc w:val="left"/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lang w:eastAsia="en-US"/>
        </w:rPr>
        <w:t xml:space="preserve">IV. A Képviselő-testület felkéri a Polgármestert, mint a Társulási Tanács elnökét, hogy a Móri Többcélú Kistérségi Társulás egységes szerkezetbe foglalt Társulási Megállapodását a változások törzskönyvi nyilvántartásban történő átvezetése érdekében a Magyar Államkincstár Fejér Megyei Igazgatósága részére küldje meg. </w:t>
      </w:r>
    </w:p>
    <w:p w:rsidR="004C45ED" w:rsidRPr="005B55F5" w:rsidRDefault="004C45ED" w:rsidP="004C45ED">
      <w:pPr>
        <w:jc w:val="left"/>
        <w:rPr>
          <w:rFonts w:eastAsia="Calibri" w:cs="Arial"/>
          <w:szCs w:val="24"/>
          <w:lang w:eastAsia="en-US"/>
        </w:rPr>
      </w:pPr>
    </w:p>
    <w:p w:rsidR="004C45ED" w:rsidRPr="005B55F5" w:rsidRDefault="004C45ED" w:rsidP="004C45ED">
      <w:pPr>
        <w:jc w:val="left"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u w:val="single"/>
          <w:lang w:eastAsia="en-US"/>
        </w:rPr>
        <w:t>Határidő</w:t>
      </w:r>
      <w:r w:rsidRPr="005B55F5">
        <w:rPr>
          <w:rFonts w:eastAsia="Calibri" w:cs="Arial"/>
          <w:szCs w:val="24"/>
          <w:lang w:eastAsia="en-US"/>
        </w:rPr>
        <w:t>: utolsó képviselő-testületi döntést követő 15 nap</w:t>
      </w:r>
    </w:p>
    <w:p w:rsidR="004C45ED" w:rsidRPr="005B55F5" w:rsidRDefault="004C45ED" w:rsidP="004C45ED">
      <w:pPr>
        <w:jc w:val="left"/>
        <w:rPr>
          <w:rFonts w:eastAsia="Calibri" w:cs="Arial"/>
          <w:szCs w:val="24"/>
          <w:lang w:eastAsia="en-US"/>
        </w:rPr>
      </w:pPr>
      <w:r w:rsidRPr="005B55F5">
        <w:rPr>
          <w:rFonts w:eastAsia="Calibri" w:cs="Arial"/>
          <w:szCs w:val="24"/>
          <w:u w:val="single"/>
          <w:lang w:eastAsia="en-US"/>
        </w:rPr>
        <w:t>Felelős</w:t>
      </w:r>
      <w:r w:rsidRPr="005B55F5">
        <w:rPr>
          <w:rFonts w:eastAsia="Calibri" w:cs="Arial"/>
          <w:szCs w:val="24"/>
          <w:lang w:eastAsia="en-US"/>
        </w:rPr>
        <w:t xml:space="preserve">: polgármester </w:t>
      </w:r>
      <w:proofErr w:type="gramStart"/>
      <w:r w:rsidRPr="005B55F5">
        <w:rPr>
          <w:rFonts w:eastAsia="Calibri" w:cs="Arial"/>
          <w:szCs w:val="24"/>
          <w:lang w:eastAsia="en-US"/>
        </w:rPr>
        <w:t>( Önkormányzati</w:t>
      </w:r>
      <w:proofErr w:type="gramEnd"/>
      <w:r w:rsidRPr="005B55F5">
        <w:rPr>
          <w:rFonts w:eastAsia="Calibri" w:cs="Arial"/>
          <w:szCs w:val="24"/>
          <w:lang w:eastAsia="en-US"/>
        </w:rPr>
        <w:t xml:space="preserve"> Iroda)</w:t>
      </w:r>
    </w:p>
    <w:p w:rsidR="004C45ED" w:rsidRPr="005B55F5" w:rsidRDefault="004C45ED" w:rsidP="004C45ED">
      <w:pPr>
        <w:rPr>
          <w:rFonts w:eastAsia="Calibri" w:cs="Arial"/>
          <w:szCs w:val="24"/>
          <w:lang w:eastAsia="en-US"/>
        </w:rPr>
      </w:pPr>
    </w:p>
    <w:p w:rsidR="00C9359A" w:rsidRDefault="00C9359A"/>
    <w:p w:rsidR="004C45ED" w:rsidRDefault="004C45ED">
      <w:bookmarkStart w:id="1" w:name="_GoBack"/>
      <w:bookmarkEnd w:id="1"/>
    </w:p>
    <w:p w:rsidR="00C9359A" w:rsidRPr="00C9359A" w:rsidRDefault="00C9359A" w:rsidP="00C9359A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9359A">
        <w:rPr>
          <w:rFonts w:cs="Arial"/>
          <w:szCs w:val="24"/>
        </w:rPr>
        <w:t>Fenyves Péter</w:t>
      </w:r>
      <w:r w:rsidRPr="00C9359A">
        <w:rPr>
          <w:rFonts w:cs="Arial"/>
          <w:szCs w:val="24"/>
        </w:rPr>
        <w:tab/>
        <w:t>Dr. Ujszászi György Szabolcs</w:t>
      </w:r>
    </w:p>
    <w:p w:rsidR="00C9359A" w:rsidRPr="00C9359A" w:rsidRDefault="00C9359A" w:rsidP="00027D0A">
      <w:pPr>
        <w:tabs>
          <w:tab w:val="center" w:pos="2340"/>
          <w:tab w:val="center" w:pos="6840"/>
        </w:tabs>
      </w:pPr>
      <w:r w:rsidRPr="00C9359A">
        <w:rPr>
          <w:rFonts w:cs="Arial"/>
          <w:szCs w:val="24"/>
        </w:rPr>
        <w:tab/>
        <w:t>polgármester</w:t>
      </w:r>
      <w:r w:rsidRPr="00C9359A">
        <w:rPr>
          <w:rFonts w:cs="Arial"/>
          <w:szCs w:val="24"/>
        </w:rPr>
        <w:tab/>
        <w:t>jegyző</w:t>
      </w:r>
    </w:p>
    <w:sectPr w:rsidR="00C9359A" w:rsidRPr="00C9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3EC"/>
    <w:multiLevelType w:val="hybridMultilevel"/>
    <w:tmpl w:val="6C58C2D2"/>
    <w:lvl w:ilvl="0" w:tplc="74B851A4">
      <w:start w:val="1"/>
      <w:numFmt w:val="decimal"/>
      <w:lvlText w:val="%1.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4C6072"/>
    <w:multiLevelType w:val="hybridMultilevel"/>
    <w:tmpl w:val="693ED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A"/>
    <w:rsid w:val="00027D0A"/>
    <w:rsid w:val="00136322"/>
    <w:rsid w:val="00182608"/>
    <w:rsid w:val="00307332"/>
    <w:rsid w:val="00356AF6"/>
    <w:rsid w:val="00375BEC"/>
    <w:rsid w:val="00397CF3"/>
    <w:rsid w:val="004C45ED"/>
    <w:rsid w:val="006C2450"/>
    <w:rsid w:val="006F04D4"/>
    <w:rsid w:val="00760213"/>
    <w:rsid w:val="00885E04"/>
    <w:rsid w:val="00B74794"/>
    <w:rsid w:val="00C436ED"/>
    <w:rsid w:val="00C9359A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052D"/>
  <w15:chartTrackingRefBased/>
  <w15:docId w15:val="{5C1F032C-6A68-40CA-A090-51BD6273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5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2019-04-16T08:02:00Z</cp:lastPrinted>
  <dcterms:created xsi:type="dcterms:W3CDTF">2019-04-16T08:03:00Z</dcterms:created>
  <dcterms:modified xsi:type="dcterms:W3CDTF">2019-04-16T08:03:00Z</dcterms:modified>
</cp:coreProperties>
</file>