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0C" w:rsidRDefault="00AD630C" w:rsidP="00AD630C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melléklet az 5/2019. (II.21.) önkormányzati rendelethez</w:t>
      </w:r>
    </w:p>
    <w:p w:rsidR="00AD630C" w:rsidRDefault="00AD630C" w:rsidP="00AD630C">
      <w:pPr>
        <w:spacing w:after="0" w:line="240" w:lineRule="auto"/>
        <w:ind w:left="8015" w:hanging="218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 melléklet az 5/2015. (IV. 1.) önkormányzati rendelethez</w:t>
      </w:r>
    </w:p>
    <w:p w:rsidR="00903DB3" w:rsidRPr="00E43870" w:rsidRDefault="00903DB3" w:rsidP="00903DB3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03DB3" w:rsidRPr="00E43870" w:rsidRDefault="00903DB3" w:rsidP="00903DB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03DB3" w:rsidRPr="00E43870" w:rsidRDefault="00903DB3" w:rsidP="00903DB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:rsidR="00903DB3" w:rsidRPr="00E43870" w:rsidRDefault="00903DB3" w:rsidP="00903DB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03DB3" w:rsidRPr="00E43870" w:rsidRDefault="00903DB3" w:rsidP="00903D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43870">
        <w:rPr>
          <w:rFonts w:ascii="Arial" w:eastAsia="Times New Roman" w:hAnsi="Arial" w:cs="Arial"/>
          <w:b/>
          <w:sz w:val="24"/>
          <w:szCs w:val="24"/>
          <w:lang w:eastAsia="hu-HU"/>
        </w:rPr>
        <w:t>KÉPVISELŐ-TESTÜLETTŐL ÁTRUHÁZOTT HATÁSKÖRÖK</w:t>
      </w:r>
    </w:p>
    <w:p w:rsidR="00903DB3" w:rsidRPr="00E43870" w:rsidRDefault="00903DB3" w:rsidP="00903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23"/>
        <w:gridCol w:w="17"/>
        <w:gridCol w:w="2105"/>
        <w:gridCol w:w="24"/>
        <w:gridCol w:w="2262"/>
        <w:gridCol w:w="45"/>
        <w:gridCol w:w="16"/>
        <w:gridCol w:w="56"/>
        <w:gridCol w:w="29"/>
        <w:gridCol w:w="2487"/>
        <w:gridCol w:w="32"/>
        <w:gridCol w:w="31"/>
      </w:tblGrid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</w:t>
            </w:r>
          </w:p>
        </w:tc>
      </w:tr>
      <w:tr w:rsidR="00903DB3" w:rsidRPr="00E43870" w:rsidTr="004C56B4">
        <w:trPr>
          <w:gridAfter w:val="1"/>
          <w:wAfter w:w="31" w:type="dxa"/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Szociális igazgatás körében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 képviselő-testületi hatáskör</w:t>
            </w:r>
          </w:p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(ügyfajta) megnevezése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 hatáskör jogalapja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Hatáskör-átruházó</w:t>
            </w:r>
          </w:p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döntés megjelölése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 hatáskör gyakorlására kijelölt szerv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lakbértámogatás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 lakások és helyiségek bérletéről szóló 1993. évi LXXVIII. törvény (a továbbiakban: </w:t>
            </w: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Ltv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.) 34.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az önkormányzati tulajdonban álló lakások bérletéről szóló 31/2015. (VIII.31.) önkormányzati rendelet (a továbbiakban: </w:t>
            </w: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Lbr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.) 58. § (2)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Szociális és Egészségügyi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lakásfenntartási célú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 szociális igazgatásról és a szociális ellátásokról szóló </w:t>
            </w: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 xml:space="preserve">1993. évi III. törvény </w:t>
            </w:r>
            <w:proofErr w:type="gram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 a</w:t>
            </w:r>
            <w:proofErr w:type="gram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továbbiakban: Szt.)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 xml:space="preserve">a települési támogatással és a köztemetéssel kapcsolatos eljárás </w:t>
            </w: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 xml:space="preserve">szabályairól szóló 4/2015. (II.18.) önkormányzati rendelet (a továbbiakban </w:t>
            </w: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Ttr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.) 13.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Jegyző</w:t>
            </w:r>
          </w:p>
        </w:tc>
      </w:tr>
      <w:tr w:rsidR="00903DB3" w:rsidRPr="00E43870" w:rsidTr="004C56B4">
        <w:trPr>
          <w:gridAfter w:val="1"/>
          <w:wAfter w:w="31" w:type="dxa"/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ápolási céllal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Ttr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18.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kamatmentes kölcsön formájában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Ttr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22.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Szociális és Egészségügyi Bizottság</w:t>
            </w:r>
          </w:p>
        </w:tc>
      </w:tr>
      <w:tr w:rsidR="00903DB3" w:rsidRPr="00E43870" w:rsidTr="004C56B4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kamatmentes kölcsön formájában nyújtott települési támogatás esetén a kölcsönszerződés aláírása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Ttr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23. § (1)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Ttr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23.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temetési céllal nyújtott települési támogatás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Ttr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27.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Polgármester</w:t>
            </w:r>
          </w:p>
        </w:tc>
      </w:tr>
      <w:tr w:rsidR="00903DB3" w:rsidRPr="00E43870" w:rsidTr="004C56B4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gyógyszer-kiadások viseléséhez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Ttr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33.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adósságkezelési célú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Ttr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39.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eseti jelleggel nyújtott rendkívüli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Ttr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46.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Polgármester</w:t>
            </w:r>
          </w:p>
        </w:tc>
      </w:tr>
      <w:tr w:rsidR="00903DB3" w:rsidRPr="00E43870" w:rsidTr="004C56B4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meghatározott időszakra nyújtott rendkívüli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Ttr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51. § (1)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Szociális és Egészségügyi Bizottság</w:t>
            </w:r>
          </w:p>
        </w:tc>
      </w:tr>
      <w:tr w:rsidR="00903DB3" w:rsidRPr="00E43870" w:rsidTr="004C56B4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Élelmiszercsomag formájában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Ttr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42/A. § (1)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Szociális és Egészségügyi Bizottság</w:t>
            </w:r>
          </w:p>
        </w:tc>
      </w:tr>
      <w:tr w:rsidR="00903DB3" w:rsidRPr="00E43870" w:rsidTr="004C56B4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települési támogatások ellenőrzése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Ttr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57-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köztemetéssel kapcsolatos az Szt. 48. §-ban felsorolt ügyek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Szt. 48. §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Ttr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60.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Szociális és Egészségügyi Bizottság</w:t>
            </w:r>
          </w:p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903DB3" w:rsidRPr="00E43870" w:rsidTr="004C56B4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köztemetés költségei alóli mentesítés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Szt. 48. §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Ttr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61.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Szociális és Egészségügyi Bizottság</w:t>
            </w:r>
          </w:p>
        </w:tc>
      </w:tr>
      <w:tr w:rsidR="00903DB3" w:rsidRPr="00E43870" w:rsidTr="004C56B4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részletfizetési kedvezmény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Ltv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54. § (1) és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az önkormányzati tulajdonban lévő lakások és helyiségek elidegenítéséről szóló 2/2007. (II.5.) önkormányzati rendelet (a továbbiakban: Lakás </w:t>
            </w: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elid.ör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.) 4. § </w:t>
            </w: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(7) és 8. § (5)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Szociális és Egészségügyi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gyermekjóléti és szociális ellátásért fizetendő személyi térítési díj összegének megállapítása, ha a jogosult az intézményvezető díjközlése ellen az önkormányzathoz fordul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gyermekek védelméről és a gyámügyi igazgatásról szóló 1997. évi XXXI. törvény 29.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 gyermekvédelmi ellátásokról szóló 2/2015. (II.4.) önkormányzati rendelet (a továbbiakban: </w:t>
            </w: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Gyvr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.) 8. §. (4)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Polgármester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gyermekjóléti és szociális ellátásért fizetendő személyi térítési díj csökkentése, elengedése szociális helyzet alapján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gyermekek védelméről és a gyámügyi igazgatásról szóló 1997. évi XXXI. törvény 29.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Gyvr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8. §.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Polgármester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újszülöttek családjának nyújtott támogatás megállapítása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Mötv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41.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az újszülöttek családjának támogatásáról szóló 12/2015. (V.6.) önkormányzati rendelet 5.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Polgármester</w:t>
            </w:r>
          </w:p>
        </w:tc>
      </w:tr>
      <w:tr w:rsidR="00903DB3" w:rsidRPr="00E43870" w:rsidTr="004C56B4">
        <w:trPr>
          <w:gridAfter w:val="1"/>
          <w:wAfter w:w="31" w:type="dxa"/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4C56B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Az önkormányzat által fenntartott vagy működtetett intézményekkel kapcsolatos hatáskörök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az önkormányzat fenntartásában működő nevelési-oktatási intézmények esetében a fenntartó egyetértésének megadása, továbbá az önkormányzat által működtetett nevelési-oktatási intézmények esetében a működtető egyetértésének megadása az SZMSZ, a házirend és a pedagógiai program azon rendelkezéseinek az érvénybelépéséhez, amelyekből a fenntartóra, a működtetőre többletkötelezettség hárul, valamint a munkaterv fenntartó általi véleményezése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2268"/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nemzeti köznevelésről szóló 2011. évi CXC. törvény (a továbbiakban: Nkt.tv.) 25. § (4)</w:t>
            </w:r>
          </w:p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bekezdése és 26. § (1) bekezdése, 20/2012. (VIII.31.) EMMI r.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az önkormányzat szervezeti és működési szabályzatáról szóló 5/2015. (IV.1.) önkormányzati rendelet (a továbbiakban: SZMSZ)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Oktatási, Kulturális és Sport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a köznevelési intézmény továbbképzési programjának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Nkt.tv.83. § (2) bekezdés g)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Oktatási, Kulturális és Sport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óvodai felvételt kijelölő bizottság létrehozása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Nkt.tv.49. § (2) bekezdés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Oktatási, Kulturális és Sport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óvodai működési, felvételi körzet és az óvoda nyitvatartási rendjének meghatározása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Nkt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tv. 49. 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Oktatási, Kulturális és Sport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óvodai beiratkozás időpontjának meghatározása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20/2012. (VIII.31.) EMMI rendelet 20. §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Oktatási, Kulturális és Sport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Nefelejcs Bölcsőde szervezeti és működési szabályzatának és szakmai programjának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Gyvt.104. § (1) bekezdés d)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Szociális és Egészségügyi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Nefelejcs Bölcsődénél a házirend és más belső szabályzatok jogszerűségének ellenőrzése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Gyvt. 104.§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Szociális és Egészségügyi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Mór Városi Önkormányzat Ellátó Központja szervezeti és működési szabályzatának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az államháztartásról szóló 2011. évi CXCV. törvény (a továbbiakban: Áht.) 9. § (1) bekezdés a)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Pénzügyi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meghatározza és jóváhagyja a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Lamberg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-kastély Kulturális Központ használati szabályait (ide nem értve a díjak megállapítását), éves munkatervét, megtárgyalja és elfogadja beszámolóját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a kulturális javak védelméről és a muzeális intézményekről, a nyilvános könyvtári ellátásról és a közművelődésről szóló 1997. évi CXL. törvény (a továbbiakban: Közműv.tv.) 50. § (2) bekezdés a) pontja, 78/I. § (4) bekezdés a) és b) pontja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Oktatási, Kulturális és Sport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jóváhagyja a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Lamberg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-kastély Kulturális Központ szervezeti és működési szabályzatát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Közműv. tv. 78/I. § (4) bekezdés b)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Oktatási, Kulturális és Sport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jóváhagyja az önállóan működő és gazdálkodó, illetve az önállóan gazdálkodó költségvetési szerv közötti megállapodást, amely a munkamegosztás és felelősségvállalás rendjét rögzíti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az államháztartásról szóló törvény végrehajtásáról szóló 368/2011. (XII.31.) Korm. rendelet (a továbbiakban: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Ávr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.) 10. § (5)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Pénzügyi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a kulturális intézmény hétéves továbbképzési tervét jóváhagyja, szükség szerint felülvizsgálja és a módosításokat évente február 15-ig jóváhagyja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1/2000.(I.14.) NKÖM. rendelet 4.§ (6)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Oktatási, Kulturális és Sport Bizottság</w:t>
            </w:r>
          </w:p>
        </w:tc>
      </w:tr>
      <w:tr w:rsidR="00903DB3" w:rsidRPr="00E43870" w:rsidTr="004C56B4">
        <w:trPr>
          <w:gridAfter w:val="1"/>
          <w:wAfter w:w="31" w:type="dxa"/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Az önkormányzat vagyonával kapcsolatos hatáskörök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dönt az önkormányzati szociális bérlakások határozott idejű bérleti szerződésének meghosszabbításáról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Lbr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21. § (3)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Szociális és Egészségügyi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gyakorolja a bérbeadói jogokat önkormányzati lakás lakáscsere jogcímén történő bérbeadása esetén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29.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Lbr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44.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Szociális és Egészségügyi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döntés önkormányzati lakás volt bérlő jogcím nélküli lakáshasználó részére díjhátraléka rendezését követő bérbeadásáról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Lbr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56. § (4)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Szociális és Egészségügyi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dönt a nem kötelezően megkötendő bérlőtársi szerződésekről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4. 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Lbr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40.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Szociális és Egészségügyi Bizottság</w:t>
            </w:r>
          </w:p>
        </w:tc>
      </w:tr>
      <w:tr w:rsidR="00903DB3" w:rsidRPr="00E43870" w:rsidTr="004C56B4">
        <w:trPr>
          <w:gridAfter w:val="1"/>
          <w:wAfter w:w="3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írásbeli hozzájárulás önkormányzati lakásba történő befogadáshoz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21. § (6)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Lbr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42. § (1)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Szociális és Egészségügyi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önkormányzati lakás elhelyezési kötelezettség jogcímén történő bérbeadása esetén a bérbeadói jogok és kötelezettségek gyakorlása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68. § (2)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Lbr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Polgármester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hozzájárulás önkormányzati lakás átalakításához, korszerűsítéséhez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15.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Lbr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50. § (1)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önkormányzati tulajdonú helyiség átalakításáról, korszerűsítéséről, felújításáról szóló megállapodás jóváhagyása, felmerült költségek beszámításának engedélyezése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37.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az önkormányzati tulajdonú nem lakás célú helyiségek bérbeadásáról szóló 32/2015. (VIII.31.) önkormányzati rendelet (a továbbiakban: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Nlbr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.) 11. § (2)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Településfejlesztési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önkormányzati lakás megsemmisülése vagy életveszélyessé nyilvánítása miatti ideiglenes elhelyezéssel kapcsolatos feladatok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23. § (4)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Lbr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Polgármester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nem lakás céljára szolgáló helyiség vételárának meghatározása, lakás és nem lakás céljára szolgáló helyiség értékesítésével kapcsolatos hirdetmény tartalmának megállapítása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Mötv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Lakás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elid.ör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8. § (2) bekezdése,10.§ (3) bekezdése,14. § (2)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Pénzügyi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hozzájárul a helyiség bérleti jogának átruházásához vagy elcseréléséhez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Mötv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Nlbr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14.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Településfejlesztési Bizottság</w:t>
            </w:r>
          </w:p>
        </w:tc>
      </w:tr>
      <w:tr w:rsidR="00903DB3" w:rsidRPr="00E43870" w:rsidTr="004C56B4">
        <w:trPr>
          <w:gridAfter w:val="1"/>
          <w:wAfter w:w="31" w:type="dxa"/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a nem lakás céljára szolgáló helyiségekben folytatható tevékenységi kör megváltoztatásának engedélyezése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Mötv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Nlbr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. 13. § (7) bekezdés 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Településfejlesztési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költségvetési szerv használatában álló forgalomképtelen és korlátozottan forgalomképes ingatlan törzsvagyon egy évet meghaladó időtartamú bérbeadásához történő előzetes hozzájárulás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Mötv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az önkormányzat vagyonáról és a vagyontárgyak feletti tulajdonosi jogok gyakorlásáról szóló 21/2016. (VII.6.) önkormányzati rendelet (a továbbiakban: Vagyonr.) 21. § (1)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a) önkormányzati ingatlanon a közműszolgáltatók részére történő közművezeték-elhelyezéshez kérelmezett, az ingatlan rendeltetésszerű használatát nem befolyásoló mértékű vezetékjog, szolgalmi vagy használati jog engedélyezése,</w:t>
            </w:r>
          </w:p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b) a használó részére önkormányzati ingatlan felújításához és közterület igénybevételéhez történő tulajdonosi hozzájárulás megadása,</w:t>
            </w:r>
          </w:p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c) pénzintézettől igényelt lakáscélú kölcsön felvételéhez kapcsolódóan a kölcsönnyújtó pénzintézet jelzálogjogának bejegyzéséhez történő hozzájárulás az önkormányzat javára </w:t>
            </w: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bejegyzett jelzálogjog fenntartása mellett, e jelzálogjog értékével együtt legfeljebb az ingatlan forgalmi értékének határáig,</w:t>
            </w:r>
          </w:p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d) az önkormányzat javára szóló jelzálogjog, elidegenítési, illetve terhelési tilalom és visszavásárlási jog bejegyeztetése, az ingatlant terhelő ugyanezen jogok törlésének engedélyezése, amennyiben az általuk biztosított kötelezettség teljesült, vagy a jogbejegyzés érvényessége lejárt,</w:t>
            </w:r>
          </w:p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e) az önkormányzat költségvetési szervei vagy közüzeme javára szóló vagyonfelajánlás elfogadása, amennyiben az ellenérték nélküli, a vagyon tehermentes vagy a teher jogosultja az önkormányzat.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lastRenderedPageBreak/>
              <w:t>Mötv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Vagyonr. 34. § (1)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Polgármester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a) pénzintézettől igényelt lakáscélú kölcsön felvételéhez kapcsolódóan a kölcsönnyújtó pénzintézet jelzálogjogának bejegyzéséhez történő hozzájárulás ellenjegyzése az önkormányzat javára bejegyzett jelzálogjog fenntartása mellett, e jelzálogjog értékével együtt legfeljebb az ingatlan forgalmi értékének határáig</w:t>
            </w: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,</w:t>
            </w:r>
          </w:p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b) </w:t>
            </w: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az önkormányzat javára szóló jelzálogjog, elidegenítési, illetve terhelési tilalom és visszavásárlási jog bejegyeztetésének, az ingatlant terhelő ugyanezen jogok törlésének engedélyezésének ellenjegyzése, amennyiben az általuk biztosított kötelezettség teljesült, vagy a jogbejegyzés érvényessége lejárt,</w:t>
            </w:r>
          </w:p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c) az önkormányzat költségvetési szervei vagy közüzeme javára szóló vagyonfelajánlás elfogadásának ellenjegyzése, amennyiben az ellenérték nélküli, a vagyon tehermentes vagy a teher jogosultja az önkormányzat.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Mötv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Vagyonr. 34.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a) az önkormányzati vagyont érintő olyan szerződések elutasítása, amelyek jogszabályban vagy önkormányzati döntésben előírtakkal ellentétesek,</w:t>
            </w:r>
          </w:p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b) az ingó vagyontárgyak elidegenítése, megterhelése, vállalkozásba vagy alapítványba történő bevitele, amennyiben a vagyontárgyak könyv szerinti egyedi vagy összértéke a 2 millió forintot nem éri el,</w:t>
            </w:r>
          </w:p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c) az önkormányzat tulajdonában lévő földterületek vonatkozásában vadászati joggal, vadgazdálkodással kapcsolatos eljárásokban a szükséges jognyilatkozatok megtétele, jogok és kötelezettségek vállalása.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Mötv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Vagyonr. 35.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a) az önkormányzat átmenetileg szabad pénzeszközeinek lekötése,</w:t>
            </w:r>
          </w:p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b) az ingó vagyontárgyak elidegenítése, megterhelése, vállalkozásba vagy alapítványba történő bevitele, amennyiben a vagyontárgyak könyv szerinti egyedi vagy összértéke 2 millió forinttól 15 millió forintig terjed,</w:t>
            </w:r>
          </w:p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c) mezőgazdasági művelésre alkalmatlan, kivett művelési ágon nyilvántartott földrészletek haszonbérbe adása, haszonbérleti díj összegének és a bérlet időtartamának meghatározása,</w:t>
            </w:r>
          </w:p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d) a mezőgazdasági művelési ágú ingatlanok haszonbérleti díjának meghatározása.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Mötv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Vagyonr. 36.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Pénzügyi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mezőgazdasági művelési ágú ingatlanok haszonbérbe adására vonatkozó versenyeztetési eljárás megindításáról és a haszonbérbeadásról szóló döntés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Mötv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Vagyonr.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Településfejlesztési Bizottság</w:t>
            </w:r>
          </w:p>
        </w:tc>
      </w:tr>
      <w:tr w:rsidR="00903DB3" w:rsidRPr="00E43870" w:rsidTr="004C56B4">
        <w:trPr>
          <w:gridAfter w:val="2"/>
          <w:wAfter w:w="63" w:type="dxa"/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B3" w:rsidRPr="00E43870" w:rsidRDefault="00903DB3" w:rsidP="004C56B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Költségvetési rendeletben átruházott hatáskörök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az általános tartalék összegéből 4.000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eFt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 polgármesteri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Mór Városi Önkormányzat 2019. évi költségvetéséről szóló </w:t>
            </w:r>
            <w:r w:rsidR="00F50752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4</w:t>
            </w: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/2019. (II.21.) önkormányzati rendelet (a továbbiakban: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Ktsvr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.) 11.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Polgármester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az általános tartalék összegéből 1.000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eFt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 jegyzői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Ktsvr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11.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az általános tartalék összegéből 2.000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eFt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 alpolgármesteri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Ktsvr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11. § (2)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Polgármester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Ktsvr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. 16. melléklet C:7 mezőjében foglalt sportszervezetek támogatására biztosított 34.000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eFt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 összegű egyéb működési célú támogatások államháztartáson kívülre előirányzat felhasználása feletti rendelkezési jog (az alapítványok támogatása kivételével)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Ktsvr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11. § (3)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Oktatási, Kulturális és Sport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Ktsvr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. 16. melléklet </w:t>
            </w: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C:3 </w:t>
            </w: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mezőjében foglalt civil szervezetek programtámogatására biztosított 2.250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eFt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 összegű egyéb működési célú támogatások államháztartáson kívülre előirányzat felhasználása feletti rendelkezési jog (az alapítványok támogatása kivételével)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Ktsvr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11. § (4)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Ktsvr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. 2. melléklet E:85 mezőjében foglalt felújításra biztosított </w:t>
            </w: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451.157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eFt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 összegű előirányzatból az önkormányzati tulajdonú </w:t>
            </w: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lastRenderedPageBreak/>
              <w:t xml:space="preserve">ingatlanok felújítására bruttó 19.050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eFt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 felhasználása feletti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lastRenderedPageBreak/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Ktsvr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11. § (7)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Pénzügyi Bizottság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az önkormányzat bevételi és kiadási előirányzatai módosítása, valamint költségvetési kiadásai kiemelt előirányzatai közötti átcsoportosítás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Áht. 34. § (2) bekezdése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Ktsvr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12.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Polgármester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az önkormányzat költségvetésében megtervezett beszerzések esetében a bruttó </w:t>
            </w:r>
            <w:proofErr w:type="gram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2.540.000,-</w:t>
            </w:r>
            <w:proofErr w:type="gram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Ft összegű értékhatárt el nem érő értékű beszerzéseknél az ajánlatkérő önkormányzat nevében eljár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Ktsvr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. 17. § (1) bekezdés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ca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) pontja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az önkormányzat költségvetésében megtervezett beszerzések esetében a bruttó 2.540.000,-Ft összegű értékhatárt elérő, vagy azt meghaladó értékű beszerzéseknél az ajánlatkérő önkormányzat nevében eljár bruttó </w:t>
            </w:r>
            <w:proofErr w:type="gram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19.050.000,-</w:t>
            </w:r>
            <w:proofErr w:type="gram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Ft értékhatárig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Ktsvr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. 17. § (1) bekezdés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cb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) pontja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Pénzügyi Bizottság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Közútkezelői feladat- és hatáskörök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hd w:val="clear" w:color="auto" w:fill="FFFFFF"/>
              <w:spacing w:after="4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közút kezelője a közlekedés résztvevőit tájékoztatja a közlekedés biztonságát és zavartalanságát jelentősen befolyásoló körülményekről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közúti közlekedésről szóló 1988. évi I. törvény (a továbbiakban: Kkt.) 3. §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 közutak kezelésével kapcsolatos egyes hatáskörök átruházásáról szóló 5/2013. (II.25.)   rendelet (a továbbiakban: </w:t>
            </w: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Közútkez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r.)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hd w:val="clear" w:color="auto" w:fill="FFFFFF"/>
              <w:spacing w:after="4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a járművezetőnek a közlekedés biztonságát súlyosan veszélyeztető közúti jelzés rongálására, beszennyezésére, a </w:t>
            </w:r>
            <w:r w:rsidRPr="00E43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közútra került akadály észlelésére vonatkozó bejelentésével kapcsolatos hatáskör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Kkt. 7. § (3)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Közútkez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hd w:val="clear" w:color="auto" w:fill="FFFFFF"/>
              <w:spacing w:after="4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közút kezelője a hozzájárulása nélkül vagy attól eltérő módon az út területén elhelyezett reklámcélú tárgyat vagy berendezést a reklám célú tárgy tulajdonosának költségére eltávolíthatja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Kkt. 12.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Közútkez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hd w:val="clear" w:color="auto" w:fill="FFFFFF"/>
              <w:spacing w:after="4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közút lezárására vagy forgalmának korlátozására (elterelésére) a közút kezelője a közúton folyó munka, a közút állagának védelme, a közúti forgalom biztonsága vagy időjárási körülmények miatt jogosult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Kkt. 14. § (1) bekezdés a)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Közútkez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hd w:val="clear" w:color="auto" w:fill="FFFFFF"/>
              <w:spacing w:after="4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a közút nem közlekedési célú igénybevételéhez történő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Kkt. 36. § (1), (3) és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Közútkez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útcsatlakozás létesítéséhez való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Kkt. 39. §-a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Közútkez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hd w:val="clear" w:color="auto" w:fill="FFFFFF"/>
              <w:spacing w:after="4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a közút kezelője a közlekedés biztonsága érdekében felszólíthatja az út területén, az alatt vagy felett elhelyezett építmény, útcsatlakozás tulajdonosát (kezelőjét) annak felújítására, korszerűsítésére vagy megszüntetésére, ennek </w:t>
            </w:r>
            <w:proofErr w:type="spellStart"/>
            <w:r w:rsidRPr="00E43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eredménytelensége</w:t>
            </w:r>
            <w:proofErr w:type="spellEnd"/>
            <w:r w:rsidRPr="00E43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esetén a közút kezelője kérheti az építmény engedélyezésére jogosult hatóságtól vagy a közlekedési hatóságtól az építmény, útcsatlakozás tulajdonosának (kezelőjének) a felújításra, korszerűsítésre, megszüntetésre kötelezését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Kkt. 41. §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Közútkez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hd w:val="clear" w:color="auto" w:fill="FFFFFF"/>
              <w:spacing w:after="4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közút műtárgyának minősülő burkolt árokba, csatornába vagy más vízelvezető létesítménybe a közút területén kívüli területekről származó vizek bevezetéséhez történő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Kkt. 42. § (3)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Közútkez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hd w:val="clear" w:color="auto" w:fill="FFFFFF"/>
              <w:spacing w:after="4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a közút kezelőjének hozzájárulása szükséges </w:t>
            </w:r>
          </w:p>
          <w:p w:rsidR="00903DB3" w:rsidRPr="00E43870" w:rsidRDefault="00903DB3" w:rsidP="004C56B4">
            <w:pPr>
              <w:shd w:val="clear" w:color="auto" w:fill="FFFFFF"/>
              <w:spacing w:after="4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a) külterületen a közút tengelyétől számított ötven méteren belül építmény elhelyezéséhez, bővítéséhez, rendeltetésének megváltoztatásához, nyomvonal jellegű építmény elhelyezéséhez, bővítéséhez, kő, kavics, agyag, homok és egyéb ásványi nyersanyag kitermeléséhez, valamint a közút területének határától számított tíz méter távolságon belül fa ültetéséhez vagy kivágásához, valamint </w:t>
            </w:r>
          </w:p>
          <w:p w:rsidR="00903DB3" w:rsidRPr="00E43870" w:rsidRDefault="00903DB3" w:rsidP="004C56B4">
            <w:pPr>
              <w:shd w:val="clear" w:color="auto" w:fill="FFFFFF"/>
              <w:spacing w:after="4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b) belterületen - a közút mellett - ipari, kereskedelmi, vendéglátó-ipari, továbbá egyéb szolgáltatási célú építmény építéséhez, bővítéséhez, rendeltetésének megváltoztatásához, valamint </w:t>
            </w:r>
            <w:proofErr w:type="gramStart"/>
            <w:r w:rsidRPr="00E43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helyi építési szabályzatban,</w:t>
            </w:r>
            <w:proofErr w:type="gramEnd"/>
            <w:r w:rsidRPr="00E43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vagy a szabályozási tervben szereplő közlekedési és közműterületen belül nyomvonal jellegű építmény elhelyezéséhez, bővítéséhez, továbbá a közút területének határától számított két méter távolságon belül fa ültetéséhez vagy kivágásához</w:t>
            </w:r>
          </w:p>
          <w:p w:rsidR="00903DB3" w:rsidRPr="00E43870" w:rsidRDefault="00903DB3" w:rsidP="004C56B4">
            <w:pPr>
              <w:shd w:val="clear" w:color="auto" w:fill="FFFFFF"/>
              <w:spacing w:after="4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c) amennyiben az elhelyezendő létesítmény dőlési távolsága a közút határát keresztezi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Kkt. 42/A. § (1) és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Közútkez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Civil szervezetek támogatásával kapcsolatos hatáskörök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hd w:val="clear" w:color="auto" w:fill="FFFFFF"/>
              <w:spacing w:after="4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pályázat kiírása, a pályázati feltételek meghatározása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Áht. 23. § (2) bekezdés h)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 civil szervezetek pályázati és eseti önkormányzati támogatásáról szóló 21/2015. (VI.3.) önkormányzati rendelet (a </w:t>
            </w: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 xml:space="preserve">továbbiakban: </w:t>
            </w: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Civil.r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.) 5. § (2) bekezdés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Polgármester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hd w:val="clear" w:color="auto" w:fill="FFFFFF"/>
              <w:spacing w:after="4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“civil keretből” tartalék címén elkülönített forrásból történő eseti támogatás elbírálása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Áht. 23. § (2) bekezdés h)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Civil r. 6.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Oktatási, Kulturális és Sport Bizottság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Egyéb hatáskörök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hd w:val="clear" w:color="auto" w:fill="FFFFFF"/>
              <w:spacing w:after="4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házszám megállapítás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Mötv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143. § (3)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közterület elnevezés és a házszámozás rendjéről szóló13/2013. (IV.3.) önkormányzati rendelet 11.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eljárás lefolytatása és közigazgatási bírság kiszabása közösségi együttélés alapvető szabályait sértő magatartások esetében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Mötv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143. § (4) bekezdés d)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közösségi együttélés alapvető szabályairól, és ezek elmulasztásának jogkövetkezményeiről szóló 25./2013. (IX.4.) önkormányzati rendelete 3.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bejelentés alapján történő közterület-használat jóváhagyása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közterület-használat szabályairól szóló 49/2015.(XI.4.) önkormányzati rendelet 4. § (5)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Polgármester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közterület-használati engedély iránti kérelem elbírálása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közterület-használat szabályairól szóló 49/2015.(XI.4.) önkormányzati rendelet 8.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Polgármester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hirdetőtáblák használatának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közterület-használat szabályairól szóló 49/2015.(XI.4.) önkormányzati rendelet 20. § és 22.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Polgármester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veszélyes hulladéknak nem minősülő törmelék és föld elhelyezésének előzetes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az épített környezet alakításáról és védelméről szóló 1997. évi LXXVIII. </w:t>
            </w: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 xml:space="preserve">a közterület-használat szabályairól szóló 49/2015.(XI.4.) önkormányzati </w:t>
            </w: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rendelet 25.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Polgármester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filmforgatási célú közterület-használatról szóló hatósági szerződés jóváhagyása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mozgóképről szóló 2004 évi II. törvény 35. § (1)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közterület-használat szabályairól szóló 49/2015.(XI.4.) önkormányzati rendelet 27.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Polgármester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díszsírhely adományozása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Mötv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köztemetők használatának rendjéről szóló 33/2015. (IX.2.) önkormányzati rendelet 11.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Polgármester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az ország vagy a város életében jelentős szerepet játszó személyiségek sírhelyének, síremlékének és a művészettörténeti vagy művészi értéket képviselő síremlékek megőrzéséről szóló döntés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Mötv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köztemetők használatának rendjéről szóló 33/2015. (IX.2.) önkormányzati rendelet 12.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Oktatási, Kulturális és Sport Bizottság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város saját halottjának történő nyilvánítás a jegyző javaslata alapján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Mötv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 köztemetők használatának rendjéről szóló 33/2015. (IX.2.) </w:t>
            </w: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önkormányzati rendelet 12.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Polgármester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piaci helybiztosítási szerződéssel kapcsolatos hatáskör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Mötv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az önkormányzati piactartás szabályairól szóló 61/2015. (XII.2.) önkormányzati rendelet 3. § (8)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  <w:tr w:rsidR="00903DB3" w:rsidRPr="00E43870" w:rsidTr="004C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B3" w:rsidRPr="00E43870" w:rsidRDefault="00903DB3" w:rsidP="00903DB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B3" w:rsidRPr="00E43870" w:rsidRDefault="00903DB3" w:rsidP="004C56B4">
            <w:pPr>
              <w:tabs>
                <w:tab w:val="left" w:pos="142"/>
                <w:tab w:val="left" w:pos="3402"/>
                <w:tab w:val="left" w:pos="666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hivatali helyiségen kívüli, valamint hivatali munkaidőn kívüli családi esemény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Mötv</w:t>
            </w:r>
            <w:proofErr w:type="spellEnd"/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  <w:t>hivatali helyiségen kívüli, valamint hivatali munkaidőn kívüli családi esemény engedélyezésének szabályairól és a többletszolgáltatások ellentételezéséről szóló 28/2017. (IX.6.) önkormányzati rendelet 3.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B3" w:rsidRPr="00E43870" w:rsidRDefault="00903DB3" w:rsidP="004C56B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</w:t>
            </w:r>
          </w:p>
        </w:tc>
      </w:tr>
    </w:tbl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u w:val="single"/>
          <w:lang w:eastAsia="hu-HU"/>
        </w:rPr>
      </w:pP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u w:val="single"/>
          <w:lang w:eastAsia="hu-HU"/>
        </w:rPr>
      </w:pP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u w:val="single"/>
          <w:lang w:eastAsia="hu-HU"/>
        </w:rPr>
      </w:pP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sz w:val="14"/>
          <w:szCs w:val="14"/>
          <w:u w:val="single"/>
          <w:lang w:eastAsia="hu-HU"/>
        </w:rPr>
        <w:t>Rövidítések jelentése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: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-</w:t>
      </w:r>
      <w:proofErr w:type="spellStart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Ltv</w:t>
      </w:r>
      <w:proofErr w:type="spellEnd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.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 xml:space="preserve">a lakások és helyiségek bérletéről szóló 1993. évi LXXVIII. törvény </w:t>
      </w: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-</w:t>
      </w:r>
      <w:proofErr w:type="spellStart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Mötv</w:t>
      </w:r>
      <w:proofErr w:type="spellEnd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.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Magyarország helyi önkormányzatairól szóló 2011. évi CLXXXIX. törvény</w:t>
      </w: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-</w:t>
      </w:r>
      <w:proofErr w:type="spellStart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Gyvt</w:t>
      </w:r>
      <w:proofErr w:type="spellEnd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a gyermekek védelméről és a gyámügyi igazgatásról szóló 1997. évi XXXI. törvény</w:t>
      </w: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lastRenderedPageBreak/>
        <w:tab/>
        <w:t>-Szt.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a szociális igazgatásról és a szociális ellátásokról szóló 1993. évi III. törvény</w:t>
      </w: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-Nkt.tv.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a nemzeti köznevelésről szóló 2011. évi CXC. törvény</w:t>
      </w: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-Közmüv.tv.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a kulturális javak védelméről és a muzeális intézményekről, a nyilvános könyvtári ellátásról és a közművelődésről szóló 1997. évi CXL. törvény</w:t>
      </w: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-Áht.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az államháztartásról szóló 2011. évi CXCV. törvény</w:t>
      </w: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-</w:t>
      </w:r>
      <w:proofErr w:type="spellStart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Ávr</w:t>
      </w:r>
      <w:proofErr w:type="spellEnd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.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az államháztartásról szóló törvény végrehajtásáról szóló 368/2011. (XII.31.) Korm. rendelet.</w:t>
      </w: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-</w:t>
      </w:r>
      <w:proofErr w:type="spellStart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Lbr</w:t>
      </w:r>
      <w:proofErr w:type="spellEnd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.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az önkormányzati tulajdonban álló lakások bérletéről szóló 31/2015. (VIII.31.) önkormányzati rendelet</w:t>
      </w: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-</w:t>
      </w:r>
      <w:proofErr w:type="spellStart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Nlbr</w:t>
      </w:r>
      <w:proofErr w:type="spellEnd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.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az önkormányzati tulajdonú nem lakás célú helyiségek bérbeadásáról szóló 32/2015. (VIII.31.) önkormányzati rendelet</w:t>
      </w: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-</w:t>
      </w:r>
      <w:proofErr w:type="spellStart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Gyvr</w:t>
      </w:r>
      <w:proofErr w:type="spellEnd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.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a gyermekvédelmi ellátásokról szóló 2/2015. (II.4.) önkormányzati rendelet</w:t>
      </w: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-</w:t>
      </w:r>
      <w:proofErr w:type="spellStart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Ttr</w:t>
      </w:r>
      <w:proofErr w:type="spellEnd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.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a települési támogatással és a köztemetéssel kapcsolatos eljárás szabályairól szóló 4/2015. (II.18.) önkormányzati rendelet</w:t>
      </w: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-Kkt.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a közúti közlekedésről szóló 1988. évi I. törvény</w:t>
      </w: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 xml:space="preserve">-Lakás </w:t>
      </w:r>
      <w:proofErr w:type="spellStart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elid.ör</w:t>
      </w:r>
      <w:proofErr w:type="spellEnd"/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>.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 xml:space="preserve">az önkormányzati tulajdonban lévő lakások és helyiségek elidegenítéséről szóló 2/2007. (II.5.) önkormányzati rendelet </w:t>
      </w: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-Vagyonr.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sz w:val="14"/>
          <w:szCs w:val="14"/>
          <w:lang w:eastAsia="hu-HU"/>
        </w:rPr>
        <w:tab/>
      </w:r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>az önkormányzat vagyonáról és a vagyontárgyak feletti tulajdonosi jogok gyakorlásáról szóló 21/2016. (VII.6.) önkormányzati rendelet</w:t>
      </w: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ab/>
        <w:t>-</w:t>
      </w:r>
      <w:proofErr w:type="spellStart"/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>Ktsvr</w:t>
      </w:r>
      <w:proofErr w:type="spellEnd"/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>.</w:t>
      </w:r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ab/>
        <w:t xml:space="preserve">Mór Városi Önkormányzat 2019. évi költségvetéséről szóló </w:t>
      </w:r>
      <w:r w:rsidR="00F50752">
        <w:rPr>
          <w:rFonts w:ascii="Arial" w:eastAsia="Times New Roman" w:hAnsi="Arial" w:cs="Arial"/>
          <w:i/>
          <w:iCs/>
          <w:sz w:val="14"/>
          <w:szCs w:val="14"/>
          <w:lang w:eastAsia="hu-HU"/>
        </w:rPr>
        <w:t>4</w:t>
      </w:r>
      <w:bookmarkStart w:id="0" w:name="_GoBack"/>
      <w:bookmarkEnd w:id="0"/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>/2019. (II.21.) önkormányzati rendelet</w:t>
      </w:r>
    </w:p>
    <w:p w:rsidR="00903DB3" w:rsidRPr="00E43870" w:rsidRDefault="00903DB3" w:rsidP="00903DB3">
      <w:pPr>
        <w:tabs>
          <w:tab w:val="left" w:pos="2268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ab/>
        <w:t>-</w:t>
      </w:r>
      <w:proofErr w:type="spellStart"/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>Közútkez.r</w:t>
      </w:r>
      <w:proofErr w:type="spellEnd"/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>.</w:t>
      </w:r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ab/>
        <w:t>a közutak kezelésével kapcsolatos egyes hatáskörök átruházásáról szóló 5/2013. (II.25.) önkormányzati rendelet</w:t>
      </w:r>
    </w:p>
    <w:p w:rsidR="00903DB3" w:rsidRPr="00E43870" w:rsidRDefault="00903DB3" w:rsidP="00903DB3">
      <w:pPr>
        <w:tabs>
          <w:tab w:val="left" w:pos="2268"/>
          <w:tab w:val="center" w:pos="2340"/>
          <w:tab w:val="left" w:pos="3402"/>
          <w:tab w:val="left" w:pos="3828"/>
          <w:tab w:val="right" w:pos="1400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hu-HU"/>
        </w:rPr>
      </w:pPr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ab/>
        <w:t>-Civil r.</w:t>
      </w:r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ab/>
        <w:t>a civil szervezetek pályázati és eseti önkormányzati támogatásáról szóló 14/2013. (IV.3.) önkormányzati rendelet</w:t>
      </w:r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ab/>
      </w:r>
    </w:p>
    <w:p w:rsidR="00903DB3" w:rsidRPr="00E43870" w:rsidRDefault="00903DB3" w:rsidP="00903DB3">
      <w:pPr>
        <w:tabs>
          <w:tab w:val="left" w:pos="2268"/>
          <w:tab w:val="center" w:pos="2340"/>
          <w:tab w:val="left" w:pos="3402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ab/>
        <w:t>SZMSZ</w:t>
      </w:r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ab/>
        <w:t>=</w:t>
      </w:r>
      <w:r w:rsidRPr="00E43870">
        <w:rPr>
          <w:rFonts w:ascii="Arial" w:eastAsia="Times New Roman" w:hAnsi="Arial" w:cs="Arial"/>
          <w:i/>
          <w:iCs/>
          <w:sz w:val="14"/>
          <w:szCs w:val="14"/>
          <w:lang w:eastAsia="hu-HU"/>
        </w:rPr>
        <w:tab/>
        <w:t>az önkormányzat szervezeti és működési szabályzatáról szóló 5/2015. (IV.1.) önkormányzati rendelet</w:t>
      </w:r>
    </w:p>
    <w:p w:rsidR="00903DB3" w:rsidRPr="00E43870" w:rsidRDefault="00903DB3" w:rsidP="00903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03DB3" w:rsidRPr="00E43870" w:rsidRDefault="00903DB3" w:rsidP="00903DB3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03DB3" w:rsidRPr="00E43870" w:rsidRDefault="00903DB3" w:rsidP="00903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03DB3" w:rsidRPr="00E43870" w:rsidRDefault="00903DB3" w:rsidP="00903DB3">
      <w:pPr>
        <w:tabs>
          <w:tab w:val="center" w:pos="2340"/>
          <w:tab w:val="center" w:pos="68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  <w:sectPr w:rsidR="00903DB3" w:rsidRPr="00E43870" w:rsidSect="00BB2094">
          <w:headerReference w:type="default" r:id="rId7"/>
          <w:footerReference w:type="default" r:id="rId8"/>
          <w:footnotePr>
            <w:numRestart w:val="eachPage"/>
          </w:footnotePr>
          <w:pgSz w:w="16838" w:h="11906" w:orient="landscape" w:code="9"/>
          <w:pgMar w:top="1418" w:right="1418" w:bottom="1418" w:left="1418" w:header="709" w:footer="709" w:gutter="0"/>
          <w:paperSrc w:first="19781" w:other="19781"/>
          <w:cols w:space="708"/>
          <w:docGrid w:linePitch="272"/>
        </w:sectPr>
      </w:pPr>
    </w:p>
    <w:p w:rsidR="00903DB3" w:rsidRPr="00E43870" w:rsidRDefault="00903DB3" w:rsidP="00903DB3">
      <w:pPr>
        <w:tabs>
          <w:tab w:val="center" w:pos="581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43870">
        <w:rPr>
          <w:rFonts w:ascii="Arial" w:eastAsia="Calibri" w:hAnsi="Arial" w:cs="Arial"/>
          <w:sz w:val="24"/>
          <w:szCs w:val="24"/>
        </w:rPr>
        <w:lastRenderedPageBreak/>
        <w:t>2. melléklet a</w:t>
      </w:r>
      <w:r>
        <w:rPr>
          <w:rFonts w:ascii="Arial" w:eastAsia="Calibri" w:hAnsi="Arial" w:cs="Arial"/>
          <w:sz w:val="24"/>
          <w:szCs w:val="24"/>
        </w:rPr>
        <w:t>z</w:t>
      </w:r>
      <w:r w:rsidRPr="00E4387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5</w:t>
      </w:r>
      <w:r w:rsidRPr="00E43870">
        <w:rPr>
          <w:rFonts w:ascii="Arial" w:eastAsia="Calibri" w:hAnsi="Arial" w:cs="Arial"/>
          <w:sz w:val="24"/>
          <w:szCs w:val="24"/>
        </w:rPr>
        <w:t>/2019. (II.21.) önkormányzati rendelethez</w:t>
      </w:r>
    </w:p>
    <w:p w:rsidR="00903DB3" w:rsidRPr="00E43870" w:rsidRDefault="00903DB3" w:rsidP="00903DB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03DB3" w:rsidRPr="00E43870" w:rsidRDefault="00903DB3" w:rsidP="00903DB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43870">
        <w:rPr>
          <w:rFonts w:ascii="Arial" w:eastAsia="Calibri" w:hAnsi="Arial" w:cs="Arial"/>
          <w:sz w:val="24"/>
          <w:szCs w:val="24"/>
        </w:rPr>
        <w:t xml:space="preserve">1. Mór Városi Önkormányzat Képviselő-testületének </w:t>
      </w:r>
      <w:r w:rsidRPr="00E43870">
        <w:rPr>
          <w:rFonts w:ascii="Arial" w:eastAsia="Times New Roman" w:hAnsi="Arial" w:cs="Arial"/>
          <w:sz w:val="24"/>
          <w:szCs w:val="24"/>
          <w:lang w:eastAsia="hu-HU"/>
        </w:rPr>
        <w:t>az önkormányzat szervezeti és működési szabályzatáról szóló 5/2015. (IV.1.) önkormányzati rendelete</w:t>
      </w:r>
      <w:r w:rsidRPr="00E43870">
        <w:rPr>
          <w:rFonts w:ascii="Arial" w:eastAsia="Calibri" w:hAnsi="Arial" w:cs="Arial"/>
          <w:sz w:val="24"/>
          <w:szCs w:val="24"/>
        </w:rPr>
        <w:t xml:space="preserve"> 2. melléklete 1. pontjában foglalt táblázat a következő 6/A sorral egészül ki:</w:t>
      </w:r>
    </w:p>
    <w:p w:rsidR="00903DB3" w:rsidRPr="00E43870" w:rsidRDefault="00903DB3" w:rsidP="00903DB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627"/>
        <w:gridCol w:w="3018"/>
      </w:tblGrid>
      <w:tr w:rsidR="00903DB3" w:rsidRPr="00E43870" w:rsidTr="004C56B4">
        <w:tc>
          <w:tcPr>
            <w:tcW w:w="417" w:type="dxa"/>
            <w:shd w:val="clear" w:color="auto" w:fill="auto"/>
          </w:tcPr>
          <w:p w:rsidR="00903DB3" w:rsidRPr="00E43870" w:rsidRDefault="00903DB3" w:rsidP="004C56B4">
            <w:pPr>
              <w:tabs>
                <w:tab w:val="center" w:pos="1985"/>
                <w:tab w:val="center" w:pos="70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27" w:type="dxa"/>
            <w:shd w:val="clear" w:color="auto" w:fill="auto"/>
          </w:tcPr>
          <w:p w:rsidR="00903DB3" w:rsidRPr="00E43870" w:rsidRDefault="00903DB3" w:rsidP="004C56B4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018" w:type="dxa"/>
            <w:shd w:val="clear" w:color="auto" w:fill="auto"/>
          </w:tcPr>
          <w:p w:rsidR="00903DB3" w:rsidRPr="00E43870" w:rsidRDefault="00903DB3" w:rsidP="004C56B4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</w:t>
            </w:r>
          </w:p>
        </w:tc>
      </w:tr>
      <w:tr w:rsidR="00903DB3" w:rsidRPr="00E43870" w:rsidTr="004C56B4">
        <w:tc>
          <w:tcPr>
            <w:tcW w:w="417" w:type="dxa"/>
            <w:shd w:val="clear" w:color="auto" w:fill="auto"/>
          </w:tcPr>
          <w:p w:rsidR="00903DB3" w:rsidRPr="00E43870" w:rsidRDefault="00903DB3" w:rsidP="004C56B4">
            <w:pPr>
              <w:tabs>
                <w:tab w:val="center" w:pos="1985"/>
                <w:tab w:val="center" w:pos="70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6/A.</w:t>
            </w:r>
          </w:p>
        </w:tc>
        <w:tc>
          <w:tcPr>
            <w:tcW w:w="5627" w:type="dxa"/>
            <w:shd w:val="clear" w:color="auto" w:fill="auto"/>
          </w:tcPr>
          <w:p w:rsidR="00903DB3" w:rsidRPr="00E43870" w:rsidRDefault="00903DB3" w:rsidP="004C56B4">
            <w:pPr>
              <w:tabs>
                <w:tab w:val="center" w:pos="1985"/>
                <w:tab w:val="center" w:pos="70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43870">
              <w:rPr>
                <w:rFonts w:ascii="Arial" w:eastAsia="Calibri" w:hAnsi="Arial" w:cs="Arial"/>
                <w:sz w:val="24"/>
                <w:szCs w:val="24"/>
              </w:rPr>
              <w:t>a helyi önkormányzati vagyon tulajdonjogának ingyenes átruházására vagy nemzeti vagyon tulajdonjogának ingyenes átvételére vonatkozó döntés</w:t>
            </w:r>
          </w:p>
        </w:tc>
        <w:tc>
          <w:tcPr>
            <w:tcW w:w="3018" w:type="dxa"/>
            <w:shd w:val="clear" w:color="auto" w:fill="auto"/>
          </w:tcPr>
          <w:p w:rsidR="00903DB3" w:rsidRPr="00E43870" w:rsidRDefault="00903DB3" w:rsidP="004C56B4">
            <w:pPr>
              <w:tabs>
                <w:tab w:val="center" w:pos="1985"/>
                <w:tab w:val="center" w:pos="70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Mötv</w:t>
            </w:r>
            <w:proofErr w:type="spellEnd"/>
            <w:r w:rsidRPr="00E4387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42. § 16. pontja és 50. §-a</w:t>
            </w:r>
          </w:p>
        </w:tc>
      </w:tr>
    </w:tbl>
    <w:p w:rsidR="00903DB3" w:rsidRPr="00E43870" w:rsidRDefault="00903DB3" w:rsidP="00903DB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03DB3" w:rsidRPr="00E43870" w:rsidRDefault="00903DB3" w:rsidP="00903DB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03DB3" w:rsidRPr="00E43870" w:rsidRDefault="00903DB3" w:rsidP="00903DB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903DB3" w:rsidRDefault="00903DB3" w:rsidP="00903DB3"/>
    <w:p w:rsidR="00903DB3" w:rsidRDefault="00903DB3" w:rsidP="00903DB3"/>
    <w:p w:rsidR="00903DB3" w:rsidRDefault="00903DB3" w:rsidP="00903DB3"/>
    <w:p w:rsidR="006F04D4" w:rsidRDefault="006F04D4"/>
    <w:sectPr w:rsidR="006F04D4" w:rsidSect="00E438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A6C" w:rsidRDefault="00840A6C">
      <w:pPr>
        <w:spacing w:after="0" w:line="240" w:lineRule="auto"/>
      </w:pPr>
      <w:r>
        <w:separator/>
      </w:r>
    </w:p>
  </w:endnote>
  <w:endnote w:type="continuationSeparator" w:id="0">
    <w:p w:rsidR="00840A6C" w:rsidRDefault="0084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094" w:rsidRPr="004941A1" w:rsidRDefault="00840A6C" w:rsidP="00BB2094">
    <w:pPr>
      <w:pStyle w:val="llb"/>
    </w:pPr>
  </w:p>
  <w:p w:rsidR="00BB2094" w:rsidRDefault="00840A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A6C" w:rsidRDefault="00840A6C">
      <w:pPr>
        <w:spacing w:after="0" w:line="240" w:lineRule="auto"/>
      </w:pPr>
      <w:r>
        <w:separator/>
      </w:r>
    </w:p>
  </w:footnote>
  <w:footnote w:type="continuationSeparator" w:id="0">
    <w:p w:rsidR="00840A6C" w:rsidRDefault="0084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094" w:rsidRDefault="00903DB3" w:rsidP="00BB2094">
    <w:pPr>
      <w:pStyle w:val="lfej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18</w:t>
    </w:r>
    <w:r>
      <w:rPr>
        <w:rStyle w:val="Oldalszm"/>
      </w:rPr>
      <w:fldChar w:fldCharType="end"/>
    </w:r>
  </w:p>
  <w:p w:rsidR="00BB2094" w:rsidRDefault="00840A6C" w:rsidP="00BB2094">
    <w:pPr>
      <w:pStyle w:val="lfej"/>
      <w:framePr w:wrap="around" w:vAnchor="text" w:hAnchor="margin" w:xAlign="center" w:y="1"/>
      <w:rPr>
        <w:rStyle w:val="Oldalszm"/>
      </w:rPr>
    </w:pPr>
  </w:p>
  <w:p w:rsidR="00BB2094" w:rsidRDefault="00840A6C" w:rsidP="00BB2094">
    <w:pPr>
      <w:pStyle w:val="Szvegtrzs2"/>
      <w:ind w:firstLine="708"/>
      <w:jc w:val="right"/>
    </w:pPr>
  </w:p>
  <w:p w:rsidR="00BB2094" w:rsidRDefault="00840A6C"/>
  <w:p w:rsidR="00BB2094" w:rsidRDefault="00840A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6E9"/>
    <w:multiLevelType w:val="hybridMultilevel"/>
    <w:tmpl w:val="78F4BF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49B2"/>
    <w:multiLevelType w:val="hybridMultilevel"/>
    <w:tmpl w:val="C652E01E"/>
    <w:lvl w:ilvl="0" w:tplc="C5387BBE">
      <w:start w:val="1"/>
      <w:numFmt w:val="decimal"/>
      <w:lvlText w:val="%1."/>
      <w:lvlJc w:val="left"/>
      <w:pPr>
        <w:ind w:left="8015" w:hanging="360"/>
      </w:pPr>
    </w:lvl>
    <w:lvl w:ilvl="1" w:tplc="040E0019">
      <w:start w:val="1"/>
      <w:numFmt w:val="lowerLetter"/>
      <w:lvlText w:val="%2."/>
      <w:lvlJc w:val="left"/>
      <w:pPr>
        <w:ind w:left="8735" w:hanging="360"/>
      </w:pPr>
    </w:lvl>
    <w:lvl w:ilvl="2" w:tplc="040E001B">
      <w:start w:val="1"/>
      <w:numFmt w:val="lowerRoman"/>
      <w:lvlText w:val="%3."/>
      <w:lvlJc w:val="right"/>
      <w:pPr>
        <w:ind w:left="9455" w:hanging="180"/>
      </w:pPr>
    </w:lvl>
    <w:lvl w:ilvl="3" w:tplc="040E000F">
      <w:start w:val="1"/>
      <w:numFmt w:val="decimal"/>
      <w:lvlText w:val="%4."/>
      <w:lvlJc w:val="left"/>
      <w:pPr>
        <w:ind w:left="10175" w:hanging="360"/>
      </w:pPr>
    </w:lvl>
    <w:lvl w:ilvl="4" w:tplc="040E0019">
      <w:start w:val="1"/>
      <w:numFmt w:val="lowerLetter"/>
      <w:lvlText w:val="%5."/>
      <w:lvlJc w:val="left"/>
      <w:pPr>
        <w:ind w:left="10895" w:hanging="360"/>
      </w:pPr>
    </w:lvl>
    <w:lvl w:ilvl="5" w:tplc="040E001B">
      <w:start w:val="1"/>
      <w:numFmt w:val="lowerRoman"/>
      <w:lvlText w:val="%6."/>
      <w:lvlJc w:val="right"/>
      <w:pPr>
        <w:ind w:left="11615" w:hanging="180"/>
      </w:pPr>
    </w:lvl>
    <w:lvl w:ilvl="6" w:tplc="040E000F">
      <w:start w:val="1"/>
      <w:numFmt w:val="decimal"/>
      <w:lvlText w:val="%7."/>
      <w:lvlJc w:val="left"/>
      <w:pPr>
        <w:ind w:left="12335" w:hanging="360"/>
      </w:pPr>
    </w:lvl>
    <w:lvl w:ilvl="7" w:tplc="040E0019">
      <w:start w:val="1"/>
      <w:numFmt w:val="lowerLetter"/>
      <w:lvlText w:val="%8."/>
      <w:lvlJc w:val="left"/>
      <w:pPr>
        <w:ind w:left="13055" w:hanging="360"/>
      </w:pPr>
    </w:lvl>
    <w:lvl w:ilvl="8" w:tplc="040E001B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B3"/>
    <w:rsid w:val="001A1921"/>
    <w:rsid w:val="006F04D4"/>
    <w:rsid w:val="00840A6C"/>
    <w:rsid w:val="00903DB3"/>
    <w:rsid w:val="00AD630C"/>
    <w:rsid w:val="00CE7634"/>
    <w:rsid w:val="00F5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6F2D"/>
  <w15:chartTrackingRefBased/>
  <w15:docId w15:val="{21C7FF61-3B3B-4267-A9CE-FF30B789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3D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3DB3"/>
  </w:style>
  <w:style w:type="paragraph" w:styleId="llb">
    <w:name w:val="footer"/>
    <w:basedOn w:val="Norml"/>
    <w:link w:val="llbChar"/>
    <w:uiPriority w:val="99"/>
    <w:unhideWhenUsed/>
    <w:rsid w:val="009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DB3"/>
  </w:style>
  <w:style w:type="paragraph" w:styleId="Szvegtrzs2">
    <w:name w:val="Body Text 2"/>
    <w:basedOn w:val="Norml"/>
    <w:link w:val="Szvegtrzs2Char"/>
    <w:uiPriority w:val="99"/>
    <w:semiHidden/>
    <w:unhideWhenUsed/>
    <w:rsid w:val="00903D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03DB3"/>
  </w:style>
  <w:style w:type="character" w:styleId="Oldalszm">
    <w:name w:val="page number"/>
    <w:rsid w:val="0090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3144</Words>
  <Characters>21700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dcterms:created xsi:type="dcterms:W3CDTF">2019-02-21T10:17:00Z</dcterms:created>
  <dcterms:modified xsi:type="dcterms:W3CDTF">2019-02-26T11:48:00Z</dcterms:modified>
</cp:coreProperties>
</file>