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8F" w:rsidRPr="00172C8F" w:rsidRDefault="00172C8F" w:rsidP="00172C8F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  <w:bookmarkStart w:id="0" w:name="_GoBack"/>
      <w:bookmarkEnd w:id="0"/>
      <w:r w:rsidRPr="00172C8F"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  <w:t>1. melléklet a 88/2015. (IV.29.) Kt. határozathoz</w:t>
      </w: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</w:t>
      </w: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2014-2019. ÉVEKRE SZÓLÓ</w:t>
      </w: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GAZDASÁGI PROGRAMJA</w:t>
      </w: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pBdr>
          <w:top w:val="single" w:sz="4" w:space="3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tabs>
          <w:tab w:val="left" w:pos="4680"/>
          <w:tab w:val="left" w:pos="63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:rsidR="00172C8F" w:rsidRPr="00172C8F" w:rsidRDefault="00172C8F" w:rsidP="00172C8F">
      <w:pPr>
        <w:tabs>
          <w:tab w:val="left" w:pos="4680"/>
          <w:tab w:val="left" w:pos="63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Pénzügyi és gazdasági feltételek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Gazdasági Program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a város vezetői részére helyi szinten meghatározza mindazon célkitűzéseket, feladatokat, amelyek a költségvetési lehetőségekkel összhangban, a helyi társadalmi, környezeti, gazdasági adottságok átfogó figyelembevételével az önkormányzat által nyújtandó kötelező és önként vállalt feladatok biztosítását, fejlesztését szabályozzák.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teljesen átalakult jogszabályi környezet, a települési önkormányzatok helyének, szerepének újrafogalmazása, a járási hivatalok kialakítása, az oktatási terület átszervezése mind-mind olyan tényező, amely befolyásolták az elmúlt két év költségvetési pozícióit és hangsúlyosan kihatnak a következő évekre.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kötelező feladat ellátáshoz kapcsolódó új központi finanszírozási rendszer bevezetése, a helyi szervezési intézkedések, továbbá az önkormányzatok adósságkonszolidációja 2014 év végére megteremtette a stabil és kiszámítható gazdasági környezett Mór város számára</w:t>
      </w:r>
      <w:bookmarkStart w:id="1" w:name="_Toc390669209"/>
      <w:r w:rsidRPr="00172C8F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1"/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A jelen gazdasági pozíciókat meghatározó folyamatok áttekintése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2013. évtől az önkormányzati feladatellátás, ezzel együtt a finanszírozási rendszer is alapjaiban változott meg. A korábban az önkormányzatok által ellátott feladatok egy része az államhoz került. Ehhez igazodóan a feladatellátást szolgáló, eddig az önkormányzatoknak átengedett források nagyobb része, illetve egyéb, feladathoz szorosan nem kötődő támogatások tekintetében is megteremtésre került a feladatok és források telepítésének egységessége.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változásokkal párhuzamosan, a megmaradó feladatok tekintetében a forrásszabályozás átalakítása sem maradhatott el. Új finanszírozási struktúra került kialakításra, mely elszakadt az eddigi jellemzően normatív támogatási rendszertől. E szempontból kiemelkedő szerepe van az ágazati feladatok újra meghatározásának, a kötelező önkormányzati feladatok és helyi közügyek szétválasztásának.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feladatátrendeződés megjelent mind a közoktatásban, mind az egészségügyben, mind a szociális és az igazgatási ágazatban. Az önkormányzati szervek által ellátott államigazgatási feladatok struktúrája átalakult, a hatáskörök egy része a 2013. január 1-jétől létrejött járási kormányhivatalokhoz került. E módosítások célja az volt, hogy a korábbinál korszerűbb és hatékonyabb hatósági ügyintézés történjen, megszüntetve ezzel a korábban létező túlzottan bürokratikus, lassú és töredezett struktúrát. Az átrendeződés akkor nem zárult le, hiszen a szociális ágazatot még ez évben is érte változás.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közoktatás új rendszere a feladatellátásban függetlenítette az oktatás színvonalát a települések pillanatnyi anyagi helyzetétől. A szakmai működtetés állami feladattá vált, az önkormányzatok kötelezettsége az üzemeltetési kiadások finanszírozására szűkült. A feladat államosítása az esélyegyenlőség megteremtése mellett alapot teremtett a méretgazdaságos feladatellátás kialakítására is.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lastRenderedPageBreak/>
        <w:t>Mór esetében a forrás felszabadulást három tényező alakította, egyrészt a közoktatási intézmények működtetéshez szükséges forrásigény nagymértékben alul maradt attól, amelyet az iskolák fenntartásakor volt kötelezettség, másrészt az óvodák finanszírozásának reformja, figyelembe veszi a színvonalas feladatellátás működési kereteit, amely által az állami támogatás 50-55 %-ról 79-82 %-ra emelkedett, valamint a kórház tekintetében nincs szerepvállalási kötelezettségünk.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Alapvető koncepcióként jelent meg továbbá az az elv, hogy a finanszírozási modellek átstrukturálásával megnyíljon a lehetőség a korábban az államadósságot újratermelő alrendszerek fenntartható működtetésére. Az önkormányzatok működéséhez kapcsolódó adósságspirál már kezelhetetlen mértékűvé puffadt, veszélyeztetve a kötelező feladatellátást. A gazdasági válság pedig tovább rontott a települések költségvetési helyzetén.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Az önkormányzatok adósságkonszolidációja, több lépésben történő végrehajtása 2014. február 28-al lezárult. A végeredmény a települések teljes körű adósságmentesítése.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2013. évtől az eddigi jövedelemkülönbség mérséklés helyett, az átalakított támogatási rendszer egésze, benne pedig elsősorban az általános támogatás segíti hozzá az önkormányzatokat az egyenlő esélyű feladatellátáshoz. Az általános támogatás lényege, hogy a települési önkormányzatok az új önkormányzati törvényben meghatározott, célzott támogatással nem támogatott feladataihoz kapcsolódóan a helyi adók beszámításával biztosít a központi költségvetés támogatást. Az új rendszer finom hangolása 2014 és 2015 években folytatódott, a hátrányos helyzetű térségek területi kiegyenlítésére, a beszámítási rendszer bővítésével.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helyi adók - így az iparűzési adó - rendszerét a finanszírozás átalakítása nem érintette. Az ebből származó bevétel továbbra is teljes egészében az önkormányzatok saját bevétele maradt, és helyben járul hozzá a feladatokhoz.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Az elmúlt két év módosított előirányzatai szemléltetik azt, hogy az önkormányzatunk gazdasági feltételei milyen változásokon mentek keresztül a közigazgatási reform és stabilitási törvény tükrében.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br w:type="page"/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szerkezeti változások és térségi feladatátvétel miatt a működtetés költségvetési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főösszege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nominál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értéken a torzító hatások miatt nem elemezhetők, azonban a működtetés és fejlesztési források arányának változása szembetűnő.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0AA24920" wp14:editId="0EDC18AC">
            <wp:extent cx="5643245" cy="3528060"/>
            <wp:effectExtent l="0" t="0" r="0" b="0"/>
            <wp:docPr id="10" name="Diagra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          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CAB379E" wp14:editId="3F818246">
            <wp:extent cx="5697855" cy="3493770"/>
            <wp:effectExtent l="0" t="0" r="0" b="0"/>
            <wp:docPr id="9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2014. évi évközi költségvetést érintő folyamatok és év végi zárási adatok már letisztult jövőképet biztosítanak forrás oldalról, hiszen a működtetés már biztonsággal tervezhető és a központi szerepvállalás a kötelező feladatellátásban már ismert. A költségvetési mérlegen belüli arányok változása rámutatnak arra, hogy Mór Város számára a gazdasági feltételek rendelkezésre állnak a város további lendületes infrastrukturális fejlődéséhez.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2015. évi eredeti költségvetés pedig reprezentatívan szemlélteti a város gazdasági erősségét a működési mérlegen keresztül, és látatja azt az eredményt, hogy a városban letelepedett adózók adóforintjának mekkora aránya vált és válik az értékteremtés eszközévé. Azonban rámutatnak az iparűzési adóbevétel meghatározó - kiszolgáltatott - szerepére is, ezen keresztül a döntéshozók felelősségére.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Az alábbiakban szemléltetjük Mór város gazdasági erősségét, az Önkormányzat adóbevételének meghatározó szerepét, a jövőnket befolyásoló gazdasági eredményeket.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 wp14:anchorId="666F9FC4" wp14:editId="63510CC0">
            <wp:extent cx="5800090" cy="3719195"/>
            <wp:effectExtent l="0" t="0" r="0" b="0"/>
            <wp:docPr id="8" name="Diagra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br w:type="page"/>
      </w:r>
      <w:r w:rsidRPr="00172C8F">
        <w:rPr>
          <w:rFonts w:ascii="Arial" w:eastAsia="Times New Roman" w:hAnsi="Arial" w:cs="Arial"/>
          <w:noProof/>
          <w:sz w:val="24"/>
          <w:szCs w:val="24"/>
          <w:lang w:eastAsia="hu-HU"/>
        </w:rPr>
        <w:lastRenderedPageBreak/>
        <w:drawing>
          <wp:inline distT="0" distB="0" distL="0" distR="0" wp14:anchorId="376306D4" wp14:editId="6D09CE20">
            <wp:extent cx="5800090" cy="3719195"/>
            <wp:effectExtent l="0" t="0" r="0" b="0"/>
            <wp:docPr id="7" name="Diagra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 wp14:anchorId="2C359D09" wp14:editId="1FD61C0B">
            <wp:extent cx="5800090" cy="3719195"/>
            <wp:effectExtent l="0" t="0" r="0" b="0"/>
            <wp:docPr id="6" name="Diagra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br w:type="page"/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város gazdasági potenciáját mindenekelőtt a kiemelkedő mértékű és növekvő tendenciájú helyi iparűzési adó adja. A jövőt ezért rendkívüli mértékben befolyásolja, hogy milyen változások várhatók ezen adónem tekintetében. Az a veszély, hogy a teljes adóformát megszüntessék pillanatnyilag nem áll fent, lekerült a napirendről. Azonban a jövő stratégia céljainak meghatározásánál szem előtt kell tartani hangsúlyos szerepét, és a város jövedelemteremtő-képességét a mostani helyzetben is folyamatosan növelni kell, mert csak így tartható fenn az a fejlődési ütem, amit a városvezetés kitűzött célul.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helyi iparűzési adó ügyintézés rugalmasabbá tétele és egyszerűsítése érdekében, illeszkedve a Polgármesteri Hivatal hosszú távú elképzeléseihez, megteremtjük ebben a ciklusban az elektronikus ügyintézés első lépését a helyi iparűzési adóban.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Törekedünk továbbá arra, hogy a helyi polgárok szélesebb rétegét érintő adófajták elektronikus ügyintézés is megvalósulhasson a ciklus alatt.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A 2015. évi költségvetés előre mutatása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2015. évi eredeti költségvetés fejlesztési támogatások és fejlesztési célú pénzmaradvány nélküli költségvetési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főösszege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3 648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, amelyből 3 033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a működési kiadások finanszírozási igénye. A különbség mutat rá arra, hogy a tárgy évi saját bevételeinkből 615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mFt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fejlesztési kiadások megvalósítását teszi lehetővé.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Visszatekintve az elmúlt két évre, hasonló tendencia figyelhető meg. A központi és helyi szervezési intézkedések „eredményhatása” jól nyomon követhető az elemzett 3 évben, és iránymutatás a jövőnk gazdálkodási kereteire, a reálisan kitűzhető célokra.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Az ez évi 2,7mdFt fejlesztési főösszeg a város életében az idén is látványos megújulást hoz, továbbá megfelelő nagyságrendű tartalékokkal rendelkezünk ahhoz, hogy az önerőt biztosítsunk későbbiekben kiírásra kerülő EU-s pályázatokhoz. A </w:t>
      </w:r>
      <w:proofErr w:type="gram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város fejlesztési</w:t>
      </w:r>
      <w:proofErr w:type="gram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tervének megvalósítása nagy mértékben függ a rendelkezésre álló forrásfelhasználások mikéntjétől, de fejlesztések prioritási sorrendjének kialakításánál célszerű az elérhető pályázatok figyelembevételével tervezni.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Város jövőképe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Hosszú távon alapvetően a gazdaság helyi teljesítőképessége határozza meg a város pénzügyi helyzetét.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Önkormányzatunk törekszik arra, hogy ebben a ciklusban is támogassa a gazdaságfejlesztő beruházásokat, hiszen ezek értékeket teremtenek és megtérülnek az Önkormányzat számára is.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Kiemelt fejlesztési ág</w:t>
      </w: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Magyarország a számára 2014-2020 között elérhető uniós források felhasználását operatív programok keretében tervezi. Az EU2020 stratégiája a gazdaságfejlesztésre helyezi a hangsúlyt a Gazdaságfejlesztési és Innovációs Operatív Program (GINOP) keretében, melynek egyik legfontosabb célkitűzése Magyarország foglalkoztatási rátájának 75%-ra való emelése. Mór városa a korábbi városfejlesztési feladatok mellett a következő ciklusban a gazdaságfejlesztési feladatokra helyezi a hangsúlyt.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gazdaságfejlesztés az Önkormányzat nem kötelezően ellátandó feladatai közé tartozik, de városunk fontos láncszeme az ország gazdaságának, így új feladatrendszerre kell átállnunk. Gazdaságunk alapja a járműipar, ehhez igazodó önkormányzati gazdaságfejlesztési politikát kell folytatni, területrendezési programunkat a gazdaság igényeihez kell igazítani. Településrendezési Tervünk módosításaival Önkormányzatunk már 2014-ben elindult ezen az úton. 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gazdaságfejlesztési programokban prioritásként és kiemelt fejlesztési ágként jelenik meg a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Fejlett jármű- és egyéb gépipari technológiák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fejlesztése. Mór városa autóipari erőcentrumként a Győr – Mór – Székesfehérvár - Kecskemét ipari tengely szerves része. Ehhez igazodóan a Gazdaságfejlesztési és Innovációs Operatív Program egyik fontos pillére a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Kutatás, technológiai fejlesztés és innováció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>, melynek végrehajtásához egyrészt új munkahelyeket kell teremteni, ezáltal a foglalkoztatást növelni, másrészt a munkát vállalni akarók képességeit kell fejleszteni. Ehhez támogatni kell a középfokú oktatásban a gazdaság igényeihez igazodó szakképzéseket, melyet önkormányzatunk az erre vonatkozó ösztöndíjrendszer bevezetésével kíván megvalósítani. Ezen programra készülve már megtettük a kezdeti lépéseket a helyi vállalkozásokkal történt kapcsolattartással és a munkaerő-hiány felmérésével.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Ahhoz, hogy Mór városának járműipari innovációs képessége megteremtődjön, vállalkozásainkkal és a Vértes Duna Járműipari Klaszter tagjaival együttműködve pályázati forrás igénybevételével egy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képző-és innovációs központ megteremtését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tűzzük ki célul. Ez területe lehet a duális szakképzés magas szintű megvalósításának, melynek keretében a tanulók a szakmai, elméleti ismereteiket a szakképző iskolákban sajátítják el, gyakorlati oktatásuk és munkavállalásuk pedig a helyi gazdálkodó szervezetnél biztosított. Logisztikai és járműipari szakképzés biztosítása érdekében felsőoktatási kapcsolódási pontként együttműködést kell kialakítani a Széchenyi István –és a Pannon Egyetemekkel.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Alapvető cél az oktatás színvonalának megőrzése, melynek egyik alapfeltétele az oktatás körülményeinek javítása, rendezett környezet megteremtése.  Ezt a célt szolgálja a 2007-ben indult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tízéves intézményfejlesztési program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unk, melynek keretein belül az oktatási rendszer legalsóbb szintjétől felfelé haladva megvalósultak közintézményeink energetikai hatékonyság fejlesztése.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következő 7 éves EU-s időszakon belül a Környezeti és Energiahatékonysági Operatív Program (KEHOP) projektjei elsősorban az energia- és erőforrás hatékonyság növeléséhez járulnak hozzá, ugyanakkor áttételesen kedveznek a gazdasági növekedés elősegítéséhez is. Ezen időszak lefedi tízéves programunkat, melynek lezárása lehetne uniós forrás lehívásával a még felújításra váró közintézményeink - Táncsics Mihály Gimnázium, Pászti Miklós Alapfokú Művészeti Iskola - energiahatékonyságának fejlesztése.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Ez az új gazdaságfejlesztési célkitűzés a Kormányprogram prioritásként kezelt része is. Mór város életében a rendszerváltás idején ismert hasonló mértékű lépésváltásra van szükség, amely magas színvonalú feladatot ró az Önkormányzatra. </w:t>
      </w:r>
    </w:p>
    <w:p w:rsidR="00172C8F" w:rsidRPr="00172C8F" w:rsidRDefault="00172C8F" w:rsidP="00172C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Városfejlesztés és városüzemeltetés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Kommunális feladatok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Képviselő-testülete, mint a Közép-Duna Vidéke Hulladékgazdálkodási Vagyonkezelő és Közszolgáltató Részvénytársaság tagja a hulladékgazdálkodási rendszer fejlesztését az Rt. segítségével pályázati pénzek bevonásával valósítja meg.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Köztemetők létesítése, bővítése, fenntartása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proofErr w:type="gramStart"/>
      <w:r w:rsidRPr="00172C8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Kálvária- temető</w:t>
      </w:r>
      <w:proofErr w:type="gramEnd"/>
      <w:r w:rsidRPr="00172C8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 xml:space="preserve"> - Ravatalozó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2015. első felében - a sikeres engedélyeztetést, közbeszereztetést követően - a kor követelményeinek mindenben megfelelő új ravatalozó és urnafal épül a Kálvária temetőben. A beruházás 2015 év augusztus végére elkészül.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Javasolt a Kálvária-temető park-és kertészeti tervének elkészíttetése, amely alapja lehet a temető fejlesztésével kapcsolatos tanulmánytervnek.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Temetőink, sírkertjeink rendezettségének megteremtése az alapvető cél, amelynek keretében felújítjuk a város életében jelentős, meghatározó szerepet betöltő személyek síremlékeit. Az új temető kataszter kiváló információs alapot nyújt a Kálvária temetőben és más temetőkben a meghatározó szerepet betöltő személyek síremlékeinek, történelmi személyiségek és katonasírok bemutatására, a temető ismertető anyagához, temetőkalauz készítéséhez, a temető bejáratánál elhelyezett térkép készítéséhez. 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Elvégezzük a régi temető közlekedési útjainak szilárd burkolattal történő ellátását és kerítés rendszerének megépítését.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>A Kálvária temetőben található szoborcsoport állaga az utóbbi években erősen leromlott, komoly felújításra szorul. A szoborcsoport restaurálására szerződést kötöttünk, a helyreállítás után indokolt lehet a szoborcsoportot körülvevő támfal megerősítése. Javasolt a Stációk restaulása is.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Zöldterület-kezelés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Több parkot, virágágyat és zöldterületet alakítunk ki. A közterületek fenntartásában érvényesítjük a rendszeresség, gondoskodás és takarékoskodás elvét. A sikeres utcafásítási „egy család egy fa” akció programot folytatjuk, a lakosság bevonásával szervezzük meg a növények kiültetését és gondozását.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Továbbra is gondoskodunk a szükséges fejlesztések végrehajtásáról és a nemzeti emlékhelyek és a város kiemelkedő személyiségeire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emlékező táblák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>, oszlopok és szobrok környezetének fenntartásáról.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Szent Flórián szobor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felújítását a Móri Karika szervezői támogatták. Önkormányzati forrás bevonásával a szobrot restauráljuk, az alapját és a kovácsoltvas kerítést felújítjuk.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Mór Városi Önkormányzat Képviselő-testülete meghívásos pályázatot folytatott le annak érdekében, hogy egy méltó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trianoni emlékmű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jöhessen létre. Az emlékmű létrehozásának helyszíne jelenleg nem eldöntött, szükséges a szobor elhelyezésének lehetőségeit megvizsgálni.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műfüves futballpálya kialakításával a </w:t>
      </w:r>
      <w:r w:rsidRPr="00172C8F"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  <w:t xml:space="preserve">futópálya 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>sérült, ezért szükséges a pálya felújítása, illetve műfüves pálya mögötti zöldterület rendezése, füves pálya kialakítása.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>Az Izraelita temető nagyon rossz állapotban van, kőkerítése összedől, a múlt emlékei elhalódnak lassan. Javasoljuk a temető összefogással történő megmentését.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>Előkészítő anyag készült a város közterületein lévő kőkeresztjeinek megóvására, restaurálására, javítására. Feladatterv alapján megkezdjük a megvalósítást.</w:t>
      </w:r>
      <w:r w:rsidRPr="00172C8F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Közlekedési feladatok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forgalombiztonsági beavatkozások 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>keretében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felmértük az igényeket és 2014. évben ezek alapján megkezdtük az ütemezett megvalósítást. A következő ciklusban további munkák elvégzésére teszünk javaslatot: autóbusz-megállóhely számára szabványos </w:t>
      </w:r>
      <w:r w:rsidRPr="00172C8F"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  <w:t xml:space="preserve">buszöböl építése a 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Deák Ferenc utca – vasútállomásra vezető út kereszteződésében és a 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Lear Kft. előtt és a Vértes áruház előtt. </w:t>
      </w:r>
      <w:r w:rsidRPr="00172C8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G</w:t>
      </w:r>
      <w:r w:rsidRPr="00172C8F"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  <w:t>yalogos átkelőhelyeket létesítenénk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a Dózsa György utcában (patak mellett), a Kórház utcában és a Kodály utca - Deák F. </w:t>
      </w:r>
      <w:proofErr w:type="gramStart"/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>utca</w:t>
      </w:r>
      <w:proofErr w:type="gramEnd"/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csomópontban.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Mór, út- és járdaépítés, felújítás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Magyar Közút Nonprofit Zrt.-vel együttműködve célunk, hogy a Deák Ferenc utca -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81. számú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fkl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. út magasság korlátozással terhelt </w:t>
      </w:r>
      <w:proofErr w:type="gram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külön szintű</w:t>
      </w:r>
      <w:proofErr w:type="gram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csomópont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ja biztonságos, minden igényt kielégítő körforgalmú csomóponttá épülhessen át. Engedélyeztetése folyamatban van.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Szorgalmazzuk a 81. sz. főút négy nyomsávosításának szerepeltetését a 2013-2020 közötti időszakra vonatkozó országos főúthálózati fejlesztési programban.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Folytatjuk a 2006. évben megkezdett járdaprogramot, melynek keretében utcáról-utcára haladva cseréljük a régi, leromlott minőségű beton és betonlap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járdáka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t. Szisztematikusan felújítjuk és átépítjük – legalább az utca egyik oldalán teljes hosszában - korszerű és esztétikus térkő burkolatra.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körzetek igényeit évről-évre mérjük fel és határozzuk meg a felújítandó szakaszokat. 2015. évben is megtörtént az igények felmérése, a munkákat ütemezetten szándékozunk elvégeztetni 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>a következő ciklusban is, évekre lebontva</w:t>
      </w:r>
      <w:r w:rsidRPr="00172C8F">
        <w:rPr>
          <w:rFonts w:ascii="Arial" w:eastAsia="Times New Roman" w:hAnsi="Arial" w:cs="Arial"/>
          <w:color w:val="6A6B69"/>
          <w:sz w:val="24"/>
          <w:szCs w:val="24"/>
          <w:shd w:val="clear" w:color="auto" w:fill="FFFFFF"/>
          <w:lang w:eastAsia="hu-HU"/>
        </w:rPr>
        <w:t>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br w:type="page"/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Terveink között szerepel a belvárost érintő parkolók bővítése. 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>Az aszfaltburkolatos utak felújítása előtt felmérjük az ott található közművek állapotát, kiépítettségük az elkövetkező években nem fogja igényelni az új burkolat felbontását. Ahol szükséges, ott kezdeményezzük a közműszolgáltatónál a szükséges megelőző munkák elvégzését.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Vértes utca - Deák utca sarkán lévő üzletsori 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parkolók és bejárat kialakítására is sor kerül.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Mór Városi Önkormányzat gondos gazdaként segítve a szőlőtermelők munkáját, folyamatosan újítja fel a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külterületi és a szőlőkbe vezető utakat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>. A korszerű technológiával megépített utak biztosítják a szőlőskertek mindenkori jó közlekedését.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városban található és látogatható boros pincék utcái gyakorlatilag nem látogathatók összefüggően, mert a </w:t>
      </w:r>
      <w:r w:rsidRPr="00172C8F"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  <w:t>Hársfa és Ezerjó utca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csak komoly kerülő árán köthető össze annak ellenére, hogy távolságuk alig pár 100m. Ez az </w:t>
      </w:r>
      <w:r w:rsidRPr="00172C8F"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  <w:t>összekötés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a Kapucinus udvaron keresztül lenne elképzelhető, amely elképzelést már a szabályozási terv is tartalmaz.</w:t>
      </w:r>
      <w:r w:rsidRPr="00172C8F">
        <w:rPr>
          <w:rFonts w:ascii="Arial" w:eastAsia="Times New Roman" w:hAnsi="Arial" w:cs="Arial"/>
          <w:iCs/>
          <w:color w:val="FF0000"/>
          <w:sz w:val="20"/>
          <w:szCs w:val="20"/>
          <w:lang w:eastAsia="hu-HU"/>
        </w:rPr>
        <w:t xml:space="preserve"> 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Az egyházzal – mint tulajdonossal – az egyeztetéseket megkezdtük.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Helyi tömegközlekedés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2015. január 1-től megszűnt az Alba Volán Zrt</w:t>
      </w:r>
      <w:proofErr w:type="gram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a cég beolvadt a KNYKK Középnyugat-magyarországi Közlekedési Központ Zrt-be, amely a Volán társaságok általános jogutódjaként látja el személyszállítási szolgáltatásait. 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Európai Uniós forrás bevonásával megépül a városi központi autóbusz pályaudvar. A KNYKK Zrt.-vel együtt tovább javítjuk a helyi közlekedési feltételeket, újabb autóbuszöblök, várók építésével és a járatok sűrítésével.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Helyi vízgazdálkodás (települési vízellátás, csatornázás, vízrendezés és vízkár-elhárítás)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Tanulmánytervet készíttettünk </w:t>
      </w:r>
      <w:r w:rsidRPr="00172C8F"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  <w:t>Mór belterületi csapadékvíz-rendezésére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. 2015. évben megkezdenénk a tanulmány által feltárt problémás helyeken a beavatkozásokat.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Pályázati forrás bevonásával folytatjuk a városi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főgyűjtő és mellékági vízfolyások felújítását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, ezzel biztosítjuk a kapcsolódó területek vízrendezési lehetőségeit. Mór város dombvidéki fekvése miatt sokhelyütt gondot okoz az egyre gyakrabban előforduló nagy intenzitású csapadék levezetése.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csapadékvíz elvezető rendszer több utcában is érint magáningatlant. Képviselő-testületi döntés nyomán lehetőségünk van az egész várost átfogó vizsgálat és tanulmányterv készítésére. A tanulmányterv rámutat a legkritikusabb helyszínekre és megoldási javaslatokat is fog tartalmazni ezek megoldására. Ez alapján ütemezet felújításokkal és átalakításokkal oldjuk meg a csapadék biztonságos elvezetését a befogadókig.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br w:type="page"/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megyei fejlesztési források megnyílásával a városüzemeltetés kiemelt szakterülete lesz a csapadékelvezetés és belvízrendezés, melyet a főgyűjtők karba helyezésével kezdünk el.  A 2014-2020-as EU-s fejlesztési ciklushoz igazodva 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>amennyiben ilyen céllal jelenik meg pályázat, úgy a rendelkezésre álló keretet pályázati forrás igénylésével önrészként kívánjuk felhasználni.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2015 évben megkezdődött a </w:t>
      </w:r>
      <w:r w:rsidRPr="00172C8F"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  <w:t>Látó hegyi tavak kotrása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az önkormányzat támogatásával.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Területfejlesztés, a környezet- és természetvédelem feladatai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ind w:right="147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>20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18. december 31.-ig új településrendezési tervet </w:t>
      </w:r>
      <w:r w:rsidRPr="00172C8F">
        <w:rPr>
          <w:rFonts w:ascii="Arial" w:eastAsia="Times New Roman" w:hAnsi="Arial" w:cs="Arial"/>
          <w:bCs/>
          <w:color w:val="222222"/>
          <w:sz w:val="24"/>
          <w:szCs w:val="24"/>
          <w:lang w:eastAsia="hu-HU"/>
        </w:rPr>
        <w:t xml:space="preserve">megalapozó koncepció elkészítése szükséges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Mór Város Települési Tervének felülvizsgálatával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172C8F">
        <w:rPr>
          <w:rFonts w:ascii="Arial" w:eastAsia="Times New Roman" w:hAnsi="Arial" w:cs="Arial"/>
          <w:bCs/>
          <w:color w:val="FF0000"/>
          <w:lang w:eastAsia="hu-HU"/>
        </w:rPr>
        <w:t xml:space="preserve"> </w:t>
      </w:r>
      <w:r w:rsidRPr="00172C8F">
        <w:rPr>
          <w:rFonts w:ascii="Arial" w:eastAsia="Times New Roman" w:hAnsi="Arial" w:cs="Arial"/>
          <w:bCs/>
          <w:lang w:eastAsia="hu-HU"/>
        </w:rPr>
        <w:t>Az Integrált településfejlesztési Stratégia előkészítés alatt van</w:t>
      </w:r>
      <w:r w:rsidRPr="00172C8F">
        <w:rPr>
          <w:rFonts w:ascii="Arial" w:eastAsia="Times New Roman" w:hAnsi="Arial" w:cs="Arial"/>
          <w:bCs/>
          <w:sz w:val="24"/>
          <w:szCs w:val="24"/>
          <w:lang w:eastAsia="hu-HU"/>
        </w:rPr>
        <w:t>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téli hó eltakarítás és síkosság-mentesítés terén a környezetvédelem elsődlegességét szemmel tartva csökkentjük a kiszórt só mennyiségét a belváros új térköves járdáin.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Környezeti terhelés csökkentésével a kiültetett növények és megőrzésre érdemes sorfáink hosszabb élettartamát garantáljuk.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Energetikai fejlesztésekkel biztosítjuk a távhőszolgáltatás gazdaságosságát, az egyre növekvő fűtési költségek megfizethetősége érdekében. Egyik iránya az épületek elektromos ellátása megújuló - napelemes rendszer - energiaforrással, valamint a használati melegvíz rendszerek felújítása és a közvilágítás folyamatos megújítása LED technológiával.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Babos-kút környezetének rendezése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Babos-kút környezetének rendezésére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önkormányzatunk 2010-ben elkészíttette a terület zöldfelület-felújítására vonatkozó tervét, mely alapján 2015 évben megkezdődött a több ütemből álló megvalósítás:</w:t>
      </w:r>
      <w:r w:rsidRPr="00172C8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>növényzet teljes megújítása, szükséges berendezési tárgyak (padok, hulladékgyűjtők, pergolák, stb.) elhelyezése - 8 éven aluliak és felüliek játszóhelyével, streetball-, és gördeszka pályákkal, gyepes labdázó réttel, kutyafuttatóval töltődik meg a jelenlegi „sivár”, lakótelepi zöldfelület.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Veszélyes hulladékok kezelése és ártalmatlanítása, élő vizek védelme, helyi jelentőségű természeti értékek védelme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Mór a „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Bio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-és megújuló energiafelhasználás startmunka mintaprogram támogatása” keretében elnyert forrásból biztosította a Zrínyi utca 36. szám alatt található kazánház és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aprítéktároló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megépítését. Az új kazánok elsősorban az Önkormányzat kezelésében lévő parkok, intézmények területén keletkező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faaprítékok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felhasználásával, üzemeltett kazánokkal biztosítják az irodák fűtését.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br w:type="page"/>
      </w: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lastRenderedPageBreak/>
        <w:t>Helyi tűzvédelem (tűzoltás, műszaki mentés)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2014-2020 közötti 7 éves uniós program keretében pályázati forrás elnyerése esetén a Tűzoltóság megfelelő elhelyezésének biztosítása szükséges a város közlekedési szerkezetéhez igazodóan.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Továbbra is segítjük és az éves költségvetés lehetőségeinek függvényében támogatjuk a </w:t>
      </w:r>
      <w:smartTag w:uri="urn:schemas-microsoft-com:office:smarttags" w:element="PersonName">
        <w:r w:rsidRPr="00172C8F">
          <w:rPr>
            <w:rFonts w:ascii="Arial" w:eastAsia="Times New Roman" w:hAnsi="Arial" w:cs="Arial"/>
            <w:b/>
            <w:i/>
            <w:sz w:val="24"/>
            <w:szCs w:val="24"/>
            <w:lang w:eastAsia="hu-HU"/>
          </w:rPr>
          <w:t>Mór</w:t>
        </w:r>
      </w:smartTag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i Önkéntes Tűzoltóság mentő tűzvédelmi feladatainak ellátását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>, elsősorban fejlesztések területén, a szükséges pályázati önrészek előteremtésében.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Közbiztonság helyi feladatai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Az elkövetkező időszakban tovább folytatjuk a térfigyelő kamera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hálózat építését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annak érdekében, hogy az összes városba vezető út belépő szakasza ellenőrizhető legyen.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vagyon elleni bűncselekmények, a betöréses lopások visszaszorítása és megelőzése érdekében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a 28/2014 BM rendelet alapján Mór Városi Önkormányzat 2014.04.23-án pályázatot nyújtott be a város kamerarendszerének fejlesztésére.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>A város részére 2014 decemberében 8 millió Ft támogatást ítéltek meg, a beruházást 2015 évben a szerződés szerint kell megvalósítani.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Közvilágítás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Célunk a meglévő közvilágítási rendszer energiatakarékos programjának teljes végrehajtása valamint a 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>zártkertek villamos-energiával történő ellátásának folytatása.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proofErr w:type="spellStart"/>
      <w:r w:rsidRPr="00172C8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Velegi</w:t>
      </w:r>
      <w:proofErr w:type="spellEnd"/>
      <w:r w:rsidRPr="00172C8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 xml:space="preserve"> úti iparterület közvilágítás bővítése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</w:t>
      </w:r>
      <w:proofErr w:type="spellStart"/>
      <w:r w:rsidRPr="00172C8F"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  <w:t>Velegi</w:t>
      </w:r>
      <w:proofErr w:type="spellEnd"/>
      <w:r w:rsidRPr="00172C8F"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  <w:t xml:space="preserve"> úti iparterület É-i és D-i oldalán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is egyre több, fejlődő üzem telephelye található. A dolgozók egy része gyalogosan közelíti meg a munkahelyét.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területen jelenleg kiépített </w:t>
      </w:r>
      <w:r w:rsidRPr="00172C8F"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  <w:t xml:space="preserve">közvilágítás 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>nincs, az üzemek falára szerelt reflektorokkal oldják meg a balesetmentes közlekedést. 2008. évben elkészíttettük a teljes iparterület közvilágítási terveit. A terveket felülvizsgáltattuk, és LED technológiát használva 2015. évben elkezdjük az ütemezett megvalósítást.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Városi lámpahely bővítés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</w:t>
      </w:r>
      <w:r w:rsidRPr="00172C8F"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  <w:t xml:space="preserve">Kórház utcai lámpatesteket 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szolgáltatóval együttműködve korszerű LED lámpákra cseréljük.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Lakás- és helyiséggazdálkodás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Megjelent az </w:t>
      </w:r>
      <w:r w:rsidRPr="00172C8F">
        <w:rPr>
          <w:rFonts w:ascii="Arial" w:eastAsia="Times New Roman" w:hAnsi="Arial" w:cs="Arial"/>
          <w:b/>
          <w:i/>
          <w:color w:val="000000"/>
          <w:sz w:val="24"/>
          <w:szCs w:val="24"/>
          <w:lang w:eastAsia="hu-HU"/>
        </w:rPr>
        <w:t>Otthon Melege Program</w:t>
      </w:r>
      <w:r w:rsidRPr="00172C8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társasház-felújítási alprogramjának pályázati kiírása. Ösztönözzük a panelprogram folytatását a város költségvállalásával, továbbra is támogatásban részesítjük a családi házak energetikai felújítását is.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Önkormányzati támogatással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lakótelkeket kívánunk kialakítani,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mellyel segítjük a fiatalok otthonteremtését, ezzel erősítve városunk népességmegtartó képességét. A 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Szabályozási Terv a város területének több helyén biztosít teret az ilyen jellegű fejlesztésnek.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megkezdett program során egyértelművé vált, hogy a lakosság hathatós és támogató közreműködése nélkül az önkormányzat csak igen jelentős anyagi ráfordításokkal tud építési telkeket kialakítani. Erre való tekintettel változtatni szükséges a fejlesztési stratégián.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belváros tereinek, épületeinek felújításával egy időben a Pincesoron és kiemelten a helyi védelem alatt lévő utcák műemléki épületeinek, illetve helyi védettség alatt lévő épületek, pincék felújítását is szorgalmazzuk, és anyagilag támogatjuk. Pályázati úton forrás biztosításával tovább segítjük az építészeti emlékek megőrzését.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>A GYEMSZI-</w:t>
      </w:r>
      <w:proofErr w:type="spellStart"/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>től</w:t>
      </w:r>
      <w:proofErr w:type="spellEnd"/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megigényeltük az egykori véradó épületet. Amennyiben kérelmünket jóváhagyják, megkezdődhet az épület felújítása és akadálymentesítése, amelyet követően </w:t>
      </w:r>
      <w:r w:rsidRPr="00172C8F"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  <w:t>védőnői szolgálat és gyermekorvosi rendelők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kapnának helyet az épületben.</w:t>
      </w:r>
    </w:p>
    <w:p w:rsidR="00172C8F" w:rsidRPr="00172C8F" w:rsidRDefault="00172C8F" w:rsidP="00172C8F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</w:t>
      </w:r>
      <w:r w:rsidRPr="00172C8F"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  <w:t>Petőfi Sándor Általános Iskola új épületszárnyának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engedélyezési tervei elkészültek, megfelelő pályázati lehetőség és támogatás elnyerése esetén az iskola építése megkezdhető.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Támogatjuk az EU 2014-2020-as ciklushoz igazodva egy magántőke bevonással megépítendő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nappali foglalkoztató központot fogyatékkal élőknek.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 Városi Önkormányzat tulajdonában lévő bérlakások üzemeltetését a </w:t>
      </w:r>
      <w:proofErr w:type="spellStart"/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>Mórhő</w:t>
      </w:r>
      <w:proofErr w:type="spellEnd"/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Kft. végzi. A megüresedett lakások ismételt bérbeadásához szükséges helyreállításait, felújításait a bérleményüzemeltető ütemezi és a Bizottság jóváhagyását követően végezteti el.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tabs>
          <w:tab w:val="right" w:pos="7380"/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2006-ban kezdődött 10 éves intézmény-felújítási programunkat a következő ciklusban is folytatjuk.  2014. év őszén az intézményvezetők megküldték a felújítási igényeiket a hivatal részére. Intézményi épületek </w:t>
      </w:r>
      <w:r w:rsidRPr="00172C8F"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  <w:t>kisösszegű felújítása és akadálymentesítése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a biztonságos működtetés és az ÁNTSZ előírások figyelembe vételével történik.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komposztáló telep megvalósulása elmaradt, ezért az Önkormányzat felvásárolná a telephez kapcsolódó földterület nem önkormányzati tulajdonrészeit későbbi önkormányzati és városüzemeltetési hasznosítás céljából.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br w:type="page"/>
      </w: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lastRenderedPageBreak/>
        <w:t>Kiemelt fejlesztések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Tudatos városfejlesztési programunk folytatásaként az elkövetkezendő öt évben igazodunk az Európai Unió hétéves költségvetésének magyarországi fejlesztési koncepciójához, amely a gazdaságfejlesztést helyezi előtérbe. 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Belvárosi Kereskedelmi-és Szolgáltató Központ - </w:t>
      </w:r>
      <w:proofErr w:type="spellStart"/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EzerjóKert</w:t>
      </w:r>
      <w:proofErr w:type="spellEnd"/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Termelői Piac-és Vásártér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Fejlesztési koncepciója már korábban elkészült, a Mór Városi Önkormányzat 86/2011. (III.30.) Kt. határozat alapján, melyet helyi termelők bevonásával az EU 2014-2020-as 7 éves fejlesztési időszakában valósítunk meg.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Az Önkormányzat a 238/2013. (IX.25) </w:t>
      </w:r>
      <w:r w:rsidRPr="00172C8F">
        <w:rPr>
          <w:rFonts w:ascii="Arial" w:eastAsia="Times New Roman" w:hAnsi="Arial"/>
          <w:sz w:val="24"/>
          <w:szCs w:val="20"/>
          <w:lang w:eastAsia="hu-HU"/>
        </w:rPr>
        <w:t>Kt.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határozatában kezdeményezte a településrendezési eszközök felülvizsgálatát annak érdekében, hogy a piacterület és környékére vonatkozó, a tanulmánytervben szereplő „Kereskedelmi központ” terület-felhasználás keretein belül megfogalmazott fejlesztések a területen megvalósíthatók legyenek.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helyi termelői vásár-, piac- és közösségi térnek készül Mór központjában szabadterületen egy termelői vásárcsarnokban. Előkészítettük és a megvalósítás szakaszába visszük a</w:t>
      </w:r>
      <w:r w:rsidRPr="00172C8F">
        <w:rPr>
          <w:rFonts w:ascii="Arial" w:eastAsia="Times New Roman" w:hAnsi="Arial" w:cs="Arial"/>
          <w:sz w:val="24"/>
          <w:szCs w:val="24"/>
          <w:shd w:val="clear" w:color="auto" w:fill="FFFFFF"/>
          <w:lang w:eastAsia="hu-HU"/>
        </w:rPr>
        <w:t xml:space="preserve"> 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jelenlegi piactér helyreállítását, amely felöleli egy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kereskedelmi-szolgáltató központ komplex fejlesztését.</w:t>
      </w:r>
      <w:r w:rsidRPr="00172C8F">
        <w:rPr>
          <w:rFonts w:ascii="Arial" w:eastAsia="Times New Roman" w:hAnsi="Arial" w:cs="Arial"/>
          <w:sz w:val="24"/>
          <w:szCs w:val="24"/>
          <w:shd w:val="clear" w:color="auto" w:fill="FFFFFF"/>
          <w:lang w:eastAsia="hu-HU"/>
        </w:rPr>
        <w:t xml:space="preserve"> 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>A kiemelt növekedési potenciállal rendelkező ágazatok és térségek versenyképességének fejlesztése és a gazdasági növekedés ösztönzése miatt a móri Városháza</w:t>
      </w:r>
      <w:r w:rsidRPr="00172C8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környezetében található piactér területének rekonstrukciója több ütemben valósulna meg várhatóan a 2014-2019 közötti időszakban. Az I. ütem megkezdését 2016 év végére időzítjük.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képviselő-testület által elfogadott terv egy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városi vásárcsarnok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elhelyezését, valamint egy városközponthoz méltó utcakép,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többfunkciós városi tér létrehozását tűzte ki célul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, amelyben a lakosság többféle lehetőséggel tud élni. A terv alapján a városközpont parkolási nehézségei is megoldódnának a szintalatti parkolók megépítésével. Terveink között szerepel a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kereskedelmi-szolgáltató központ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részeként a Mór Városi Pince kialakítása. A beruházást EU-s pályázati forrás kiegészítéssel kívánjuk megvalósítani. Amennyiben a pályázat sikeresen zárul, végre megkezdődhet Mór városában egy a város rangjához méltó, valóban működő, és városi funkciókat ellátó igazi településközpont, városközpont létrehozása, megépítése.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color w:val="6A6B69"/>
          <w:sz w:val="24"/>
          <w:szCs w:val="24"/>
          <w:shd w:val="clear" w:color="auto" w:fill="FFFFFF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Posta fejlesztése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color w:val="6A6B69"/>
          <w:sz w:val="24"/>
          <w:szCs w:val="24"/>
          <w:shd w:val="clear" w:color="auto" w:fill="FFFFFF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Hosszadalmas tárgyalások sorával megkezdődött a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Posta fejlesztése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. Az egyeztetések során felmérésre került az átépítendő postahivatal létrehozásához szükséges műszaki feltételrendszer, és részben önkormányzati szakmai támogatással a szolgáltató anyagi forrásainak felhasználásával tanulmányterv készült egy korszerű postahivatal létrehozására.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Magyar Posta Zrt. Móron egy európai mértékkel mérve is korszerű, minden uniós előírásnak megfelelő, lifttel felszerelt intézményt kíván létrehozni.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br w:type="page"/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lastRenderedPageBreak/>
        <w:t xml:space="preserve">Önkormányzati beruházásként két ütemben megvalósul az úgynevezett ügyviteli épület akadálymentesítése. 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Az elkészült tanulmánytervek a postabővítés helyeként a jelenlegi Kapucinus téri épületegyüttest veszik igénybe. A beruházás 2015 év július végére elkészül. 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>Az első ütemben az épület környezete (mozgáskorlátozott parkoló), annak főbejárata (rámpaépítés a Szent István tér felőli főbejáratnál), földszint része (liftszerkezet indítóaknájának kialakítása, akadálymentesített WC kialakítása) kerül akadálymentesítésre.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Önkormányzati Gazdasági Társaság létrehozása – Mór Holding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Móri Polgármesteri Hivatal áttekintette a városüzemeltetéssel kapcsolatos feladatok ellátásának rendjét. Önkormányzatunk jelenleg túlnyomó többségben vállalkozásokkal végezteti el városüzemeltetési feladatait, melyek természetesen anyagi haszonra törekedve látják el ezeket a feladatokat, ellenőrzésük meglehetősen bonyolult és nehézkes. Megállapításra került, hogy célszerűnek látszik a városi közszolgáltatások saját kézbe vonása egy új, önkormányzat által alapított 100%-os önkormányzati tulajdonú gazdasági társaságon keresztül, amely több ütemben mintegy három év alatt épülne fel teljes egészében.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Iparfejlesztés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Az Ipari Park továbbfejlesztése, bővítése érdekében 2015-ben megkezdődtek az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Ény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-i iparterület rendezési terv szerinti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tartalékterületei megvásárlásának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előkészítése. </w:t>
      </w: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Az 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>Iparterület-bővítéssel és a meglévő iparterületeken az infrastrukturális igények kielégítésével, az utak felújításával és a közművek fejlesztésével segítjük a vállalkozások versenyképességének megőrzését.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Tekintettel arra, hogy ezek jelentős fejlesztések, és igen komoly munkahelyteremtő beruházásnak minősülnek, ezért ezeket feltétlenül támogatni szükséges.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Az autóipari tevékenység Magyarországi élénkülését követően több, jelenleg is dolgozó nagyvállalat kezdett fejlesztési tevékenységbe.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Velegi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úti iparterület déli, délnyugati részén a rendezési tervi eszközök belterületbe vonást követő iparterületi fejlesztést határoztak el. Az érintett ingatlanok fejlesztése településrendezési szerződés megkötésével szakmai támogatás és jogi segítség nyújtásával támogatandó.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terület belterületi részén jelenleg is működő és fejlődő gazdasági vállalkozások támogatása során jelenleg is folyamatban van a településrendezési eszközök felülvizsgálata annak érdekében, hogy azok a meglévő telephelyeiken tovább fejleszthessenek.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Autóbusz pályaudvar rekonstrukció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Mór Városi Önkormányzat pályázatot nyújtott be a KDOP-4.2.3-11 „Közösségi közlekedés fejlesztésére" című konstrukcióra, a pályázat támogatásáról 2014.01.07-én értesült, a Támogatási Szerződés-kötés 2014. március 20-án aláírásra került. A sikeres közbeszerzési eljárást követően 2014.12.19-én a munkaterületet – a régi mentőállomás melletti területet - a kivitelező birtokba vette, és a beruházást szerződés alapján várhatóan 2015.05.30-ig befejezi. Az új autóbusz-állomáson kerékpártároló és kerékpár-kölcsönző kialakítására is sor kerül.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jelenlegi autóbusz-állomás területének rekultivációját a ciklus elején megkezdtük. Buszöblök kialakításával és a zöldfelületek növelésével új közösségi funkciót kap majd.   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Kerékpárút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Régi igény már a környék borturizmusának fejlődését elősegítő Mór-Csókakő Kerékpárút kiépítése. Az engedélyezési tervek elkészültek, a kiviteli tervek </w:t>
      </w:r>
      <w:proofErr w:type="gram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elkészülte után</w:t>
      </w:r>
      <w:proofErr w:type="gram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a ciklus folyamán a megépítésre várhatóan sor kerül.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Mór-Pusztavám vasútvonal megszüntetésére vonatkozó intézkedéseket elkezdtük, a vasút nyomvonalán kerékpárutat kívánunk építeni. Ez az útszakasz az új autóbusz-pályaudvar mögött halad el.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Ez az útvonal része lehet egy Székesfehérvár-Iszkaszentgyörgy – Kincsesbánya – Fehérvárcsurgó – Bodajk – Mór – Csókakő –Csákberény - Zámoly- Székesfehérvár 60 km hosszú, Székesfehérvár - Bakony - Vértes- Székesfehérvár turista kerékpárútnak. A felszámolandó vasút nyomvonala lehetőséget ad egy pusztavámi és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balinkai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oldalág megvalósítására, ami szintén jelentős turisztikai beruházás lehet.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proofErr w:type="spellStart"/>
      <w:r w:rsidRPr="00172C8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Fotovoltaikus</w:t>
      </w:r>
      <w:proofErr w:type="spellEnd"/>
      <w:r w:rsidRPr="00172C8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 xml:space="preserve"> rendszer kialakítása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2014 őszén évben pályázatot nyújtott be a Pitypang Óvoda napelemes korszerűsítésére a KEOP-4.10.0/F konstrukcióban. 2015 januárjában értesültünk a pályázati támogatásról, amely a 2015. évi költségvetésbe betervezésre került. A beruházás befejezésének határideje 2015.05.30.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Épületenergetikai fejlesztések megújuló energiaforrás hasznosítással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pályázatot nyújtott be a KEOP-5.5.0/B „Épületenergetikai fejlesztések megújuló energiaforrás hasznosítással kombinálva" című konstrukcióra. A beruházás 4 intézmény felújítását illetve energetikai korszerűsítését foglalja magába, valamint a Napsugár Óvoda tornaszobával való bővítését. A pályázat megvalósítása a sikeres közbeszerzést követően 2015. 01. 22-én megkezdődött, amelynek befejezési határideje 2015.05.30. A projekt megvalósításához szükséges költségek betervezésre kerültek a költségvetésbe. A megújuló energiaforrások jelentős megtakarítást eredményeznek az önkormányzati intézményekben.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>A pályázati konstrukcióban megvalósított beruházások mellett az Önkormányzat saját erőből is végez épületenergetikai fejlesztéseket. 2015. évben elkészül az Erzsébet-téri Művelődési Ház hőszigetelése és a ciklus folyamán további intézményeink hőszigetelése is terveink között szerepel, mint például a Hajléktalanok Átmeneti Szállása és a felsődobosi Művelődési Ház.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proofErr w:type="spellStart"/>
      <w:r w:rsidRPr="00172C8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Lamberg</w:t>
      </w:r>
      <w:proofErr w:type="spellEnd"/>
      <w:r w:rsidRPr="00172C8F">
        <w:rPr>
          <w:rFonts w:ascii="Arial" w:eastAsia="Times New Roman" w:hAnsi="Arial" w:cs="Arial"/>
          <w:b/>
          <w:iCs/>
          <w:sz w:val="24"/>
          <w:szCs w:val="24"/>
          <w:lang w:eastAsia="hu-HU"/>
        </w:rPr>
        <w:t xml:space="preserve"> – kastély turisztikai célú fejlesztése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KDOP-2.1.1/B-12 konstrukciójú pályázat a tartaléklistáról 2014 évben a támogatottak listájára került, és a Támogatási Szerződést 2014.06.06-án aláírták. A kivitelezés befejezési határideje 2015.05.30.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pályázat keretében megújul az állandó tárlatok többsége. Modern eszközök segítségével az érdeklődők számára közelibbé, élménygazdagabbá válhat a kastélybeli látogatás. 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Sor kerül egy helyiség falfestményeinek feltárására, helyreállítására is, a kastélyparkban egy sváb ház kerül kialakításra, ahol a betelepített németajkú lakosság életébe bepillantást engedő bútorok és használati eszközök gyűjteménye kap helyet.  2015 második felében egy minden szempontból megújult kialakításnak köszönhetően több élményt adó, tartalmasabb időtöltést kínál a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Lamberg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>-kastély. 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kastély teljes renoválása érdekében kutatjuk annak lehetőségét, hogy a ciklus folyamán pályázati források bevonásával hogyan tudjuk a megkezdett fejlesztést folytatni.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Vidékfejlesztés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Szőlészet- Borászat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város ipari szektorának túlsúlya mellett egyre növekvő teljesítménnyel teszi le névjegyét a mezőgazdasági szakágazat. Az ipari termelés mellett jelentős erőt képvisel a történelmi borvidék teljesítménye az egyre fejlődő Bakony-Vértes turisztikai lehetőségek kihasználásával. A szőlőtermesztés és a borkészítés jelentős foglalkoztatottságot biztosít. Célkitűzésünk a Mór Városi Önkormányzat támogatásával a Móri Borvidék termelőinek integrációjával megvalósuló feldolgozás és piacra jutás. Ezen célt szolgálták a korábban korszerű technológiával felújított szőlőskerti utak. A közlekedési infrastruktúra kiépítésében továbbra is partner lesz Önkormányzatunk.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Egészségügyi alap- és szakellátás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területi védőnői ellátásról szóló 49/2004. (V.21.)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ESzCsM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rendelet a területi védőnői ellátással összefüggő tanácsadó alapfelszereltsége Védőnői Szolgálatunkon megfelelően biztosított, így az eszközök elhasználódásának folyamatos cseréjével kell a szinten tartást biztosítani. A </w:t>
      </w:r>
      <w:smartTag w:uri="urn:schemas-microsoft-com:office:smarttags" w:element="PersonName">
        <w:smartTagPr>
          <w:attr w:name="ProductID" w:val="Védőnői Szolgálat"/>
        </w:smartTagPr>
        <w:r w:rsidRPr="00172C8F">
          <w:rPr>
            <w:rFonts w:ascii="Arial" w:eastAsia="Times New Roman" w:hAnsi="Arial" w:cs="Arial"/>
            <w:sz w:val="24"/>
            <w:szCs w:val="24"/>
            <w:lang w:eastAsia="hu-HU"/>
          </w:rPr>
          <w:t>Védőnői Szolgálat</w:t>
        </w:r>
      </w:smartTag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és az Iskola-egészségügyi Szolgálat a Nefelejcs Bölcsőde épületében van elhelyezve, a bölcsőde későbbi bővítésével a Védőnői Szolgálatot új épületben, vagy épületrészben kell elhelyezni.  </w:t>
      </w:r>
    </w:p>
    <w:p w:rsidR="00172C8F" w:rsidRPr="00172C8F" w:rsidRDefault="00172C8F" w:rsidP="00172C8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Az iskola-egészségügyi ellátásról szóló 26/1997.(IX.31.) NM rendelet határozza meg az iskolaorvosi rendelő minimális alapfelszereltségét, mely alapján megállapítható, hogy a feltételek biztosítottak, de az elhasználódott eszközök cseréjét itt is biztosítani szükséges.</w:t>
      </w:r>
    </w:p>
    <w:p w:rsidR="00172C8F" w:rsidRPr="00172C8F" w:rsidRDefault="00172C8F" w:rsidP="00172C8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Az egészségügyi szolgáltatások nyújtásához szükséges szakmai minimumfeltételekről szóló 60/2003. (X.20.)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ESzCsM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rendeletben meghatározott szakmai minimum feltételnek megfelelő körülményei a felnőtt háziorvosi szolgálatok esetében a Móron működő szakrendelő korszerűsítésével, átalakításával megvalósult, a továbbiakban ennek megfelelő szinten tartásáról kell gondoskodni.</w:t>
      </w:r>
    </w:p>
    <w:p w:rsidR="00172C8F" w:rsidRPr="00172C8F" w:rsidRDefault="00172C8F" w:rsidP="00172C8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br w:type="page"/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Az egészségügyi szolgáltatások nyújtásához szükséges szakmai minimumfeltételekről szóló 60/2003. (X.20.)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ESzCsM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rendeletben meghatározott szakmai minimum feltételnek megfelelő körülmények a házi gyermekorvosi szolgálatok esetében is megvalósításra váró feladat.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Alapfokú nevelés-oktatás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C8F">
        <w:rPr>
          <w:rFonts w:ascii="Arial" w:hAnsi="Arial" w:cs="Arial"/>
          <w:sz w:val="24"/>
          <w:szCs w:val="24"/>
        </w:rPr>
        <w:t xml:space="preserve">2013. január 1-től a járási tankerület látja el az illetékességi területén működő általános iskolák, alapfokú művészeti iskolák és gimnáziumok fenntartásával kapcsolatos feladatokat. Ettől függetlenül továbbra is a város alapvető célja támogatni a nevelés-oktatás színvonalának megőrzését, az esélyegyenlőség biztosítását, valamint azt, hogy a tehetség, a szorgalom és a tudás legyen a diákok érvényesülésének alapja. Az állam által fenntartott helyi alapfokú iskolák működtetése továbbra is önkormányzati feladat, az elkövetkező években is figyelembe kell venni és ütemezetten folytatni szükséges a tervezett felújítási programokat. </w:t>
      </w: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C8F">
        <w:rPr>
          <w:rFonts w:ascii="Arial" w:hAnsi="Arial" w:cs="Arial"/>
          <w:sz w:val="24"/>
          <w:szCs w:val="24"/>
        </w:rPr>
        <w:t>A havonta összehívásra kerülő összevont intézményvezetői értekezletet - melyen a helyi KLIK igazgatója is részt vesz - a továbbiakban is célszerű fenntartani.</w:t>
      </w:r>
    </w:p>
    <w:p w:rsidR="00172C8F" w:rsidRPr="00172C8F" w:rsidRDefault="00172C8F" w:rsidP="00172C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72C8F">
        <w:rPr>
          <w:rFonts w:ascii="Arial" w:hAnsi="Arial" w:cs="Arial"/>
          <w:sz w:val="24"/>
          <w:szCs w:val="24"/>
        </w:rPr>
        <w:t xml:space="preserve">Öt évre szóló együttműködési megállapodás került aláírásra önkormányzatunk és a </w:t>
      </w:r>
      <w:proofErr w:type="spellStart"/>
      <w:r w:rsidRPr="00172C8F">
        <w:rPr>
          <w:rFonts w:ascii="Arial" w:hAnsi="Arial" w:cs="Arial"/>
          <w:sz w:val="24"/>
          <w:szCs w:val="24"/>
        </w:rPr>
        <w:t>Rk</w:t>
      </w:r>
      <w:proofErr w:type="spellEnd"/>
      <w:r w:rsidRPr="00172C8F">
        <w:rPr>
          <w:rFonts w:ascii="Arial" w:hAnsi="Arial" w:cs="Arial"/>
          <w:sz w:val="24"/>
          <w:szCs w:val="24"/>
        </w:rPr>
        <w:t>. Általános Iskola fenntartójával, a Székesfehérvári Egyházmegyével.</w:t>
      </w:r>
    </w:p>
    <w:p w:rsidR="00172C8F" w:rsidRPr="00172C8F" w:rsidRDefault="00172C8F" w:rsidP="00172C8F">
      <w:pPr>
        <w:spacing w:after="0" w:line="240" w:lineRule="auto"/>
        <w:ind w:left="720"/>
        <w:contextualSpacing/>
        <w:jc w:val="both"/>
        <w:rPr>
          <w:rFonts w:cs="Calibri"/>
          <w:sz w:val="24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72C8F">
        <w:rPr>
          <w:rFonts w:ascii="Arial" w:hAnsi="Arial" w:cs="Arial"/>
          <w:sz w:val="24"/>
          <w:szCs w:val="24"/>
        </w:rPr>
        <w:t xml:space="preserve">Az óvodáinkban sajnálatos módon egyre több a magatartás-zavaros, agresszív, valamint sajátos nevelési igényű gyermekek száma. A szakszerű nevelésük érdekében az intézmények és a terület speciális szakembereinek bevonásával az érintett gyermekek fejlesztéséről és integrálásáról az elkövetkező években is gondoskodni kell.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Továbbra is szükséges biztosítani intézményi étkezés jó minőségét. A közétkeztetésre vonatkozó táplálkozás-egészségügyi előírásokról </w:t>
      </w:r>
      <w:proofErr w:type="gram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szóló  37</w:t>
      </w:r>
      <w:proofErr w:type="gram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/2014. (IV.30.) EMMI rendelet 2015. január 1-jétől hatályos, ezt szem előtt tartva kell az elkövetkezendő időszakban megtervezni a gyermekek, a tanulók egészséges táplálkozásra történő nevelését. </w:t>
      </w:r>
    </w:p>
    <w:p w:rsidR="00172C8F" w:rsidRPr="00172C8F" w:rsidRDefault="00172C8F" w:rsidP="00172C8F">
      <w:pPr>
        <w:spacing w:after="0" w:line="240" w:lineRule="auto"/>
        <w:ind w:left="720"/>
        <w:contextualSpacing/>
        <w:jc w:val="both"/>
        <w:rPr>
          <w:rFonts w:cs="Calibri"/>
          <w:sz w:val="24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Az óvodákban az iskolatej program fontos, ezért fenntartása az elkövetkező években is szükséges és indokolt.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Támogatni kell a középfokú oktatásban a gazdaság igényeihez igazodó képzéseket, melyet önkormányzatunk az erre vonatkozó ösztöndíjrendszer bevezetésével kíván megvalósítani. </w:t>
      </w:r>
    </w:p>
    <w:p w:rsidR="00172C8F" w:rsidRPr="00172C8F" w:rsidRDefault="00172C8F" w:rsidP="00172C8F">
      <w:pPr>
        <w:spacing w:after="0" w:line="240" w:lineRule="auto"/>
        <w:ind w:left="720"/>
        <w:contextualSpacing/>
        <w:jc w:val="both"/>
        <w:rPr>
          <w:rFonts w:cs="Calibri"/>
          <w:sz w:val="24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felsőoktatásban tanuló hallgatók önkormányzati ösztöndíjrendszerének – a helyi Felsőoktatási Önkormányzati Ösztöndíj, valamint a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Bursa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Hungarica Felsőoktatási Ösztöndíj - hosszútávra szóló fenntartása ösztönzi a fiatalokat céljaik elérésében.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Közművelődés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Városunk zenei-, tánc-, és képzőművészeti élete mind a megyében, mind az országhatáron belül és országhatáron kívül is méltán elismert, melynek ékes példája a számtalan helyi, hazai és külföldi vendégszereplése művészeti csoportjainknak. </w:t>
      </w:r>
    </w:p>
    <w:p w:rsidR="00172C8F" w:rsidRPr="00172C8F" w:rsidRDefault="00172C8F" w:rsidP="00172C8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Német nemzetiségi hagyományaink ápolása művészeti, kulturális életünknek fontos, kiemelt területe. 2015. évtől - hagyományteremtő szándékkal - november első hétvégéjén megrendezésre kerül a „Móri Márton-napi Libanapok”.</w:t>
      </w:r>
    </w:p>
    <w:p w:rsidR="00172C8F" w:rsidRPr="00172C8F" w:rsidRDefault="00172C8F" w:rsidP="00172C8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Városunk civil szervezetei számára értékes művészeti tér került kialakításra a mozi épületének felújításával, melyet az elkövetkezendő években - a költségvetés függvényvényében - folyamatosan fejleszteni szükséges.</w:t>
      </w:r>
    </w:p>
    <w:p w:rsidR="00172C8F" w:rsidRPr="00172C8F" w:rsidRDefault="00172C8F" w:rsidP="00172C8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Móri Bornapok és a hozzá kapcsolódó művészeti fesztivál egyre népszerűbb a helyi és a Mórra látogató közönség köreiben, így fő célkitűzés a fesztivál magas színvonalának megőrzése.</w:t>
      </w:r>
    </w:p>
    <w:p w:rsidR="00172C8F" w:rsidRPr="00172C8F" w:rsidRDefault="00172C8F" w:rsidP="00172C8F">
      <w:pPr>
        <w:spacing w:after="0" w:line="240" w:lineRule="auto"/>
        <w:ind w:left="720"/>
        <w:contextualSpacing/>
        <w:jc w:val="both"/>
        <w:rPr>
          <w:rFonts w:cs="Calibri"/>
          <w:sz w:val="24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Mór városközpontjának rehabilitációja című pályázat keretében magvalósított rendezvények 2014. évtől nagy sikert aratnak a móri és a környékbeli települések lakosai, illetve az idelátogatók körében. A rendezvények egy része civil szervezetek közreműködésével, valamint a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Lamberg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- kastély Kulturális Központ megrendezésével kerülnek megvalósításra. A pályázat megvalósításának 5 évig fenntartási kötelezettsége van.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Civil szervezetek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Civil szervezeteink tenni akarását, ötletgazdagságát kamatoztatni kell a város fejlődése érdekében. Szerepük a közösség-teremtésben, szociális és kulturális területen továbbra is nélkülözhetetlen. </w:t>
      </w:r>
    </w:p>
    <w:p w:rsidR="00172C8F" w:rsidRPr="00172C8F" w:rsidRDefault="00172C8F" w:rsidP="00172C8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Elkülönített pályázati alap segíti a városi civil szervezetek működését és a valós teljesítményen alapuló programjaikat.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Sport, egészségmegőrzés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sportolók számíthatnak a város támogatására, amelynek mértéke az éves költségvetési keret függvényében kerül meghatározásra.</w:t>
      </w:r>
    </w:p>
    <w:p w:rsidR="00172C8F" w:rsidRPr="00172C8F" w:rsidRDefault="00172C8F" w:rsidP="00172C8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Az elkövetkezendő évek egyik célkitűzése lehet egy sport tagozatos óvoda kialakítása a meglévő intézményhálózatunk keretein belül.</w:t>
      </w:r>
    </w:p>
    <w:p w:rsidR="00172C8F" w:rsidRPr="00172C8F" w:rsidRDefault="00172C8F" w:rsidP="00172C8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Fontos megteremteni az alapjait egy tömegsport bázisnak, ahol mindenki mozoghat az egészségének megőrzése érdekében. Ennek fontos elemei a városi óvodai és iskolai sportnapok, az „Ezerjó Félmaraton”, a „Móri Karika”, valamint a „Mozogjon Mór” sportrendezvények fenntartása. </w:t>
      </w:r>
    </w:p>
    <w:p w:rsidR="00172C8F" w:rsidRPr="00172C8F" w:rsidRDefault="00172C8F" w:rsidP="00172C8F">
      <w:pPr>
        <w:spacing w:after="0" w:line="240" w:lineRule="auto"/>
        <w:ind w:left="720"/>
        <w:contextualSpacing/>
        <w:jc w:val="both"/>
        <w:rPr>
          <w:rFonts w:cs="Calibri"/>
          <w:sz w:val="24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Tervezzük a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Városi </w:t>
      </w:r>
      <w:proofErr w:type="gramStart"/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>Strand</w:t>
      </w:r>
      <w:proofErr w:type="gram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korszerűsítését 21. századi normáknak megfelelően.</w:t>
      </w:r>
    </w:p>
    <w:p w:rsidR="00172C8F" w:rsidRPr="00172C8F" w:rsidRDefault="00172C8F" w:rsidP="00172C8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Turizmus, nemzetközi kapcsolatok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Móri Borvidék Turisztikai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Desztináció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Menedzsment fogja össze a térségben a turisztikai programokat, melyhez önkormányzatunk a térségben a legnagyobb költségvetési támogatást nyújtja. A helyi turizmus fejlesztése érdekében ezt továbbra is fent kell tartani.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Városunk földrajzi és természeti adottságai kiválóak ahhoz, hogy a további városiasodás fő hajtóereje a kulturális és a bor turizmus legyen.</w:t>
      </w:r>
    </w:p>
    <w:p w:rsidR="00172C8F" w:rsidRPr="00172C8F" w:rsidRDefault="00172C8F" w:rsidP="00172C8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természetjáró turizmus érdekében kedvező előrelépésnek bizonyulhat a kerékpárutak kialakítása a móri kistérség szép természeti környezetében. Ugyancsak ezt a típusú turizmust fejlesztené az </w:t>
      </w:r>
      <w:r w:rsidRPr="00172C8F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ifjúsági turistahelyek </w:t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t>bővítése.</w:t>
      </w:r>
    </w:p>
    <w:p w:rsidR="00172C8F" w:rsidRPr="00172C8F" w:rsidRDefault="00172C8F" w:rsidP="00172C8F">
      <w:pPr>
        <w:spacing w:after="0" w:line="240" w:lineRule="auto"/>
        <w:ind w:left="720"/>
        <w:contextualSpacing/>
        <w:jc w:val="both"/>
        <w:rPr>
          <w:rFonts w:cs="Calibri"/>
          <w:sz w:val="24"/>
        </w:rPr>
      </w:pPr>
    </w:p>
    <w:p w:rsidR="00172C8F" w:rsidRPr="00172C8F" w:rsidRDefault="00172C8F" w:rsidP="00172C8F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Testvérvárosi kapcsolatainknak további mélyítése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Freudenberg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Nyárádszereda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településsel.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Gyermekvédelmi és Szociális ellátások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Szociális ellátások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Az önkormányzat a szociális törvény alapján önkormányzati rendeletben meghatározott jogosultsági feltételek mellett meghatározott célokra települési támogatás nyújtását biztosítja. Ehhez a forrást az önkormányzat mindenkori költségvetésében biztosítani kell, mivel erre a célra állami normatívát már nem biztosítanak önkormányzatunk részére.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Önkormányzatunk a következő támogatásokat nyújtja a rászorulók részére: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lakásfenntartási célú települési támogatás</w:t>
      </w:r>
    </w:p>
    <w:p w:rsidR="00172C8F" w:rsidRPr="00172C8F" w:rsidRDefault="00172C8F" w:rsidP="00172C8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ápolási céllal nyújtott települési támogatás</w:t>
      </w:r>
    </w:p>
    <w:p w:rsidR="00172C8F" w:rsidRPr="00172C8F" w:rsidRDefault="00172C8F" w:rsidP="00172C8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kamatmentes kölcsön formájában nyújtott települési támogatás</w:t>
      </w:r>
    </w:p>
    <w:p w:rsidR="00172C8F" w:rsidRPr="00172C8F" w:rsidRDefault="00172C8F" w:rsidP="00172C8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temetési céllal nyújtott települési támogatás</w:t>
      </w:r>
    </w:p>
    <w:p w:rsidR="00172C8F" w:rsidRPr="00172C8F" w:rsidRDefault="00172C8F" w:rsidP="00172C8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gyógyszer-kiadások viseléséhez nyújtott támogatás</w:t>
      </w:r>
    </w:p>
    <w:p w:rsidR="00172C8F" w:rsidRPr="00172C8F" w:rsidRDefault="00172C8F" w:rsidP="00172C8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adósságkezelési célú települési támogatás</w:t>
      </w:r>
    </w:p>
    <w:p w:rsidR="00172C8F" w:rsidRPr="00172C8F" w:rsidRDefault="00172C8F" w:rsidP="00172C8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eseti jelleggel nyújtott rendkívüli települési támogatás</w:t>
      </w:r>
    </w:p>
    <w:p w:rsidR="00172C8F" w:rsidRPr="00172C8F" w:rsidRDefault="00172C8F" w:rsidP="00172C8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meghatározott időszakra nyújtott rendkívüli települési támogatás</w:t>
      </w:r>
    </w:p>
    <w:p w:rsidR="00172C8F" w:rsidRPr="00172C8F" w:rsidRDefault="00172C8F" w:rsidP="00172C8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elemi kár esetén nyújtott rendkívüli települési támogatás</w:t>
      </w:r>
    </w:p>
    <w:p w:rsidR="00172C8F" w:rsidRPr="00172C8F" w:rsidRDefault="00172C8F" w:rsidP="00172C8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köztemetés.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A fenti támogatásokat továbbra is szeretnénk fenntartani.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br w:type="page"/>
      </w:r>
      <w:r w:rsidRPr="00172C8F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Az önkormányzat kiemelt figyelmet fordít a fiatal családokra a szociális biztonság megtartása érdekében. A helyi rendeletben szabályozott első lakáshoz jutók pénzügyi támogatását valamint az újszülöttek családjának támogatását a továbbiakban is indokolt fenntartani. Utóbbi támogatási formával a legtöbb újszülött gyermek családja élni tud a kedvező jogosultsági feltételek miatt.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numPr>
          <w:ilvl w:val="0"/>
          <w:numId w:val="22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Gyermekvédelem</w:t>
      </w:r>
    </w:p>
    <w:p w:rsidR="00172C8F" w:rsidRPr="00172C8F" w:rsidRDefault="00172C8F" w:rsidP="00172C8F">
      <w:pPr>
        <w:spacing w:after="0" w:line="240" w:lineRule="auto"/>
        <w:ind w:left="-11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gyermekek védelméről szóló törvény kimondja, hogy anyagi veszélyeztetettség miatt egyetlen gyermek sem kerülhet intézeti nevelésbe, ezért a gyermekes családokra egyre nagyobb figyelmet szükséges fordítani.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Támogatásként – szociális rászorultságuk figyelembe vételével - természetbeni (étkezési kedvezmény, iskolai kirándulás támogatása) és eseti segélyezésre van lehetőség. A nyári gyermekétkeztetést pályázat útján szeretnénk a továbbiakban is biztosítani a rászoruló gyermekek részére.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172C8F">
        <w:rPr>
          <w:rFonts w:ascii="Arial" w:eastAsia="Times New Roman" w:hAnsi="Arial" w:cs="Arial"/>
          <w:sz w:val="24"/>
          <w:szCs w:val="24"/>
          <w:lang w:eastAsia="hu-HU"/>
        </w:rPr>
        <w:t>rotavírus</w:t>
      </w:r>
      <w:proofErr w:type="spellEnd"/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 elleni védőoltást a ciklus folyamán megkezdtük és a továbbiakban is biztosítjuk. </w:t>
      </w:r>
    </w:p>
    <w:p w:rsidR="00172C8F" w:rsidRPr="00172C8F" w:rsidRDefault="00172C8F" w:rsidP="00172C8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b/>
          <w:sz w:val="24"/>
          <w:szCs w:val="24"/>
          <w:lang w:eastAsia="hu-HU"/>
        </w:rPr>
        <w:t>Összegzés</w:t>
      </w: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 xml:space="preserve">Önkormányzatunk az előzőekben felsorolt feladatokat magára nézve kötelezőnek ismeri el. Megalapozottan hisszük azt, hogy jelen gazdasági program megvalósítása esetén Mór város fejlődése töretlenként biztosított a ciklus folyamán. </w:t>
      </w: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Célunk a városban működő gazdasági szervezetek fejlődési, fejlesztési lehetőségeinek maximális támogatása és a város polgárai számára élhető, szép környezet kialakítása a 21. századi modern infrastruktúrák megvalósítása mellett.</w:t>
      </w:r>
    </w:p>
    <w:p w:rsidR="00172C8F" w:rsidRPr="00172C8F" w:rsidRDefault="00172C8F" w:rsidP="00172C8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72C8F">
        <w:rPr>
          <w:rFonts w:ascii="Arial" w:eastAsia="Times New Roman" w:hAnsi="Arial" w:cs="Arial"/>
          <w:sz w:val="24"/>
          <w:szCs w:val="24"/>
          <w:lang w:eastAsia="hu-HU"/>
        </w:rPr>
        <w:t>--------------------------------------</w:t>
      </w: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72C8F" w:rsidRPr="00172C8F" w:rsidRDefault="00172C8F" w:rsidP="00172C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C473C" w:rsidRDefault="00EC473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757"/>
    <w:multiLevelType w:val="hybridMultilevel"/>
    <w:tmpl w:val="CFDE00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3F51"/>
    <w:multiLevelType w:val="hybridMultilevel"/>
    <w:tmpl w:val="95FA4764"/>
    <w:lvl w:ilvl="0" w:tplc="A7E8002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05009"/>
    <w:multiLevelType w:val="hybridMultilevel"/>
    <w:tmpl w:val="F8928AD2"/>
    <w:lvl w:ilvl="0" w:tplc="C24A1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A6473"/>
    <w:multiLevelType w:val="hybridMultilevel"/>
    <w:tmpl w:val="512673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81105"/>
    <w:multiLevelType w:val="hybridMultilevel"/>
    <w:tmpl w:val="3C6EBDD6"/>
    <w:lvl w:ilvl="0" w:tplc="6C50CD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4"/>
  </w:num>
  <w:num w:numId="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1"/>
  </w:num>
  <w:num w:numId="15">
    <w:abstractNumId w:val="2"/>
  </w:num>
  <w:num w:numId="16">
    <w:abstractNumId w:val="16"/>
  </w:num>
  <w:num w:numId="17">
    <w:abstractNumId w:val="0"/>
  </w:num>
  <w:num w:numId="18">
    <w:abstractNumId w:val="4"/>
  </w:num>
  <w:num w:numId="19">
    <w:abstractNumId w:val="10"/>
  </w:num>
  <w:num w:numId="20">
    <w:abstractNumId w:val="12"/>
  </w:num>
  <w:num w:numId="21">
    <w:abstractNumId w:val="3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373DA"/>
    <w:rsid w:val="00053A71"/>
    <w:rsid w:val="00077CF2"/>
    <w:rsid w:val="00134A8C"/>
    <w:rsid w:val="00172C8F"/>
    <w:rsid w:val="001B45A4"/>
    <w:rsid w:val="00232BBD"/>
    <w:rsid w:val="002812C6"/>
    <w:rsid w:val="0029183D"/>
    <w:rsid w:val="002E4596"/>
    <w:rsid w:val="00302A4F"/>
    <w:rsid w:val="003126B4"/>
    <w:rsid w:val="00315A9B"/>
    <w:rsid w:val="00380947"/>
    <w:rsid w:val="003A4E74"/>
    <w:rsid w:val="003B7CF6"/>
    <w:rsid w:val="003F6DAC"/>
    <w:rsid w:val="004663A6"/>
    <w:rsid w:val="004C3311"/>
    <w:rsid w:val="00520181"/>
    <w:rsid w:val="005734A6"/>
    <w:rsid w:val="005A55C6"/>
    <w:rsid w:val="005B20F4"/>
    <w:rsid w:val="005E12F9"/>
    <w:rsid w:val="005E4EFF"/>
    <w:rsid w:val="00615899"/>
    <w:rsid w:val="00631D51"/>
    <w:rsid w:val="0066302F"/>
    <w:rsid w:val="00692355"/>
    <w:rsid w:val="006A6DD3"/>
    <w:rsid w:val="006C6CC4"/>
    <w:rsid w:val="006D6919"/>
    <w:rsid w:val="006F35AB"/>
    <w:rsid w:val="006F637C"/>
    <w:rsid w:val="007317A3"/>
    <w:rsid w:val="007337AF"/>
    <w:rsid w:val="00773DDB"/>
    <w:rsid w:val="007A0A20"/>
    <w:rsid w:val="007A60A4"/>
    <w:rsid w:val="0081343A"/>
    <w:rsid w:val="0081598F"/>
    <w:rsid w:val="00864AA0"/>
    <w:rsid w:val="008B76E1"/>
    <w:rsid w:val="008C29D0"/>
    <w:rsid w:val="008F04D7"/>
    <w:rsid w:val="008F6C00"/>
    <w:rsid w:val="00940EF1"/>
    <w:rsid w:val="009A2312"/>
    <w:rsid w:val="009C10B3"/>
    <w:rsid w:val="00A4033B"/>
    <w:rsid w:val="00A94FC3"/>
    <w:rsid w:val="00AC7EB1"/>
    <w:rsid w:val="00AE3368"/>
    <w:rsid w:val="00B4310E"/>
    <w:rsid w:val="00B470B9"/>
    <w:rsid w:val="00BB55DB"/>
    <w:rsid w:val="00BD68D3"/>
    <w:rsid w:val="00C0237A"/>
    <w:rsid w:val="00C22BDA"/>
    <w:rsid w:val="00C4431E"/>
    <w:rsid w:val="00C547A3"/>
    <w:rsid w:val="00C833EC"/>
    <w:rsid w:val="00CA7551"/>
    <w:rsid w:val="00CD1EFF"/>
    <w:rsid w:val="00D04DAC"/>
    <w:rsid w:val="00D80B92"/>
    <w:rsid w:val="00DD3A0B"/>
    <w:rsid w:val="00DF1F1E"/>
    <w:rsid w:val="00E52051"/>
    <w:rsid w:val="00E91817"/>
    <w:rsid w:val="00EB634D"/>
    <w:rsid w:val="00EC3CA3"/>
    <w:rsid w:val="00EC473C"/>
    <w:rsid w:val="00EF70D6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B403AD0-C132-4E26-B390-FEF4B16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398"/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működési és fejlesztési kiadások megoszlása 2014. évben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DBD-45E1-8807-909109DDA75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DBD-45E1-8807-909109DDA75E}"/>
              </c:ext>
            </c:extLst>
          </c:dPt>
          <c:dLbls>
            <c:dLbl>
              <c:idx val="0"/>
              <c:layout>
                <c:manualLayout>
                  <c:x val="-0.126583760498719"/>
                  <c:y val="1.8643583013661754E-2"/>
                </c:manualLayout>
              </c:layout>
              <c:spPr/>
              <c:txPr>
                <a:bodyPr/>
                <a:lstStyle/>
                <a:p>
                  <a:pPr>
                    <a:defRPr sz="1198"/>
                  </a:pPr>
                  <a:endParaRPr lang="hu-H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BD-45E1-8807-909109DDA75E}"/>
                </c:ext>
              </c:extLst>
            </c:dLbl>
            <c:dLbl>
              <c:idx val="1"/>
              <c:layout>
                <c:manualLayout>
                  <c:x val="0.13997114657795667"/>
                  <c:y val="-2.6121794871794873E-2"/>
                </c:manualLayout>
              </c:layout>
              <c:spPr/>
              <c:txPr>
                <a:bodyPr/>
                <a:lstStyle/>
                <a:p>
                  <a:pPr>
                    <a:defRPr sz="1198"/>
                  </a:pPr>
                  <a:endParaRPr lang="hu-H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BD-45E1-8807-909109DDA7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8"/>
                </a:pPr>
                <a:endParaRPr lang="hu-H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Munka1!$A$2:$A$3</c:f>
              <c:strCache>
                <c:ptCount val="2"/>
                <c:pt idx="0">
                  <c:v>Működési költségvetés</c:v>
                </c:pt>
                <c:pt idx="1">
                  <c:v>Felhalmozási költségvetés</c:v>
                </c:pt>
              </c:strCache>
            </c:strRef>
          </c:cat>
          <c:val>
            <c:numRef>
              <c:f>Munka1!$B$2:$B$3</c:f>
              <c:numCache>
                <c:formatCode>#\ ##0\ "Ft"</c:formatCode>
                <c:ptCount val="2"/>
                <c:pt idx="0">
                  <c:v>3147451</c:v>
                </c:pt>
                <c:pt idx="1">
                  <c:v>2852089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BD-45E1-8807-909109DDA7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9">
          <a:noFill/>
        </a:ln>
      </c:spPr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hu-H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9"/>
            </a:pPr>
            <a:r>
              <a:rPr lang="hu-HU" sz="1399"/>
              <a:t>A működési és fejlesztési kiadások megoszlása 2015. évben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működési és fejlesztési kiadások megoszlása 2015. évben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280-4D62-A0FE-3BAFB1BAB35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C280-4D62-A0FE-3BAFB1BAB353}"/>
              </c:ext>
            </c:extLst>
          </c:dPt>
          <c:dLbls>
            <c:dLbl>
              <c:idx val="0"/>
              <c:layout>
                <c:manualLayout>
                  <c:x val="-0.13212290240919752"/>
                  <c:y val="-2.405738946093277E-2"/>
                </c:manualLayout>
              </c:layout>
              <c:spPr/>
              <c:txPr>
                <a:bodyPr/>
                <a:lstStyle/>
                <a:p>
                  <a:pPr>
                    <a:defRPr sz="1199"/>
                  </a:pPr>
                  <a:endParaRPr lang="hu-H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80-4D62-A0FE-3BAFB1BAB353}"/>
                </c:ext>
              </c:extLst>
            </c:dLbl>
            <c:dLbl>
              <c:idx val="1"/>
              <c:layout>
                <c:manualLayout>
                  <c:x val="0.12889635115621903"/>
                  <c:y val="-4.2181506157884109E-2"/>
                </c:manualLayout>
              </c:layout>
              <c:spPr/>
              <c:txPr>
                <a:bodyPr/>
                <a:lstStyle/>
                <a:p>
                  <a:pPr>
                    <a:defRPr sz="1199"/>
                  </a:pPr>
                  <a:endParaRPr lang="hu-H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80-4D62-A0FE-3BAFB1BAB3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9"/>
                </a:pPr>
                <a:endParaRPr lang="hu-H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Munka1!$A$2:$A$3</c:f>
              <c:strCache>
                <c:ptCount val="2"/>
                <c:pt idx="0">
                  <c:v>Működési költségvetés</c:v>
                </c:pt>
                <c:pt idx="1">
                  <c:v>Felhalmozási költségvetés</c:v>
                </c:pt>
              </c:strCache>
            </c:strRef>
          </c:cat>
          <c:val>
            <c:numRef>
              <c:f>Munka1!$B$2:$B$3</c:f>
              <c:numCache>
                <c:formatCode>#\ ##0\ "Ft"</c:formatCode>
                <c:ptCount val="2"/>
                <c:pt idx="0">
                  <c:v>3032948</c:v>
                </c:pt>
                <c:pt idx="1">
                  <c:v>2748694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80-4D62-A0FE-3BAFB1BAB3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6">
          <a:noFill/>
        </a:ln>
      </c:spPr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hu-H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hu-HU" sz="1200"/>
              <a:t>Működési bevételből finanszírozott fejlesztések 2013. évben</a:t>
            </a:r>
          </a:p>
        </c:rich>
      </c:tx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A96-4DA6-B72D-C33C9CC8584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A96-4DA6-B72D-C33C9CC8584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A96-4DA6-B72D-C33C9CC8584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1A96-4DA6-B72D-C33C9CC8584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1A96-4DA6-B72D-C33C9CC85840}"/>
              </c:ext>
            </c:extLst>
          </c:dPt>
          <c:dLbls>
            <c:dLbl>
              <c:idx val="0"/>
              <c:layout>
                <c:manualLayout>
                  <c:x val="8.6272052350830755E-2"/>
                  <c:y val="-2.568707348187413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hu-HU"/>
                      <a:t>Egyéb működési bevételek</a:t>
                    </a:r>
                  </a:p>
                  <a:p>
                    <a:pPr>
                      <a:defRPr/>
                    </a:pPr>
                    <a:r>
                      <a:rPr lang="hu-HU"/>
                      <a:t> 1 480 524 eFt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96-4DA6-B72D-C33C9CC8584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hu-HU"/>
                      <a:t>Működési célú pénzmaradvány 195 643 eFt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96-4DA6-B72D-C33C9CC85840}"/>
                </c:ext>
              </c:extLst>
            </c:dLbl>
            <c:dLbl>
              <c:idx val="2"/>
              <c:layout>
                <c:manualLayout>
                  <c:x val="0.3227939842561619"/>
                  <c:y val="-0.1621411906844977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hu-HU"/>
                      <a:t>Iparűzési adóbevételből finanszírozott működés</a:t>
                    </a:r>
                  </a:p>
                  <a:p>
                    <a:pPr>
                      <a:defRPr/>
                    </a:pPr>
                    <a:r>
                      <a:rPr lang="hu-HU"/>
                      <a:t> 1 015 229 eFt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96-4DA6-B72D-C33C9CC85840}"/>
                </c:ext>
              </c:extLst>
            </c:dLbl>
            <c:dLbl>
              <c:idx val="3"/>
              <c:layout>
                <c:manualLayout>
                  <c:x val="-1.8712354156980866E-2"/>
                  <c:y val="0.1368645405097554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hu-HU"/>
                      <a:t>Iparűzési adóbevételből finanszírozott fejlesztések</a:t>
                    </a:r>
                  </a:p>
                  <a:p>
                    <a:pPr>
                      <a:defRPr/>
                    </a:pPr>
                    <a:r>
                      <a:rPr lang="hu-HU"/>
                      <a:t> 497 771 eFt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96-4DA6-B72D-C33C9CC8584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hu-HU"/>
                      <a:t>Iparűzési adóbevétel
1 513 000 eFt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A96-4DA6-B72D-C33C9CC85840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'2013'!$A$4:$A$7</c:f>
              <c:strCache>
                <c:ptCount val="4"/>
                <c:pt idx="0">
                  <c:v>Egyéb működési bevételek</c:v>
                </c:pt>
                <c:pt idx="1">
                  <c:v>Működési célú pénzmaradvány</c:v>
                </c:pt>
                <c:pt idx="2">
                  <c:v>Iparűzési adóbevételből finanszírozott működés</c:v>
                </c:pt>
                <c:pt idx="3">
                  <c:v>Iparűzési adóbevételből finanszírozott fejlesztések</c:v>
                </c:pt>
              </c:strCache>
            </c:strRef>
          </c:cat>
          <c:val>
            <c:numRef>
              <c:f>'2013'!$B$4:$B$7</c:f>
              <c:numCache>
                <c:formatCode>#,##0</c:formatCode>
                <c:ptCount val="4"/>
                <c:pt idx="0">
                  <c:v>1480524</c:v>
                </c:pt>
                <c:pt idx="1">
                  <c:v>195643</c:v>
                </c:pt>
                <c:pt idx="2">
                  <c:v>1015229</c:v>
                </c:pt>
                <c:pt idx="3">
                  <c:v>497771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A96-4DA6-B72D-C33C9CC858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  <c:spPr>
        <a:noFill/>
        <a:ln w="25402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hu-H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hu-HU" sz="1200"/>
              <a:t>Működési bevételből finanszírozott fejlesztések 2014. évben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0137043916449361E-2"/>
          <c:y val="0.19632506874140732"/>
          <c:w val="0.85253332325710818"/>
          <c:h val="0.72790442663616917"/>
        </c:manualLayout>
      </c:layout>
      <c:ofPieChart>
        <c:ofPieType val="pie"/>
        <c:varyColors val="1"/>
        <c:ser>
          <c:idx val="0"/>
          <c:order val="0"/>
          <c:tx>
            <c:strRef>
              <c:f>'2014'!$B$3</c:f>
              <c:strCache>
                <c:ptCount val="1"/>
                <c:pt idx="0">
                  <c:v>2014. évi módosított előirányzat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5A2-4C6E-87BF-C910DFCFA03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05A2-4C6E-87BF-C910DFCFA03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05A2-4C6E-87BF-C910DFCFA03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05A2-4C6E-87BF-C910DFCFA03E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05A2-4C6E-87BF-C910DFCFA03E}"/>
              </c:ext>
            </c:extLst>
          </c:dPt>
          <c:dLbls>
            <c:dLbl>
              <c:idx val="0"/>
              <c:layout>
                <c:manualLayout>
                  <c:x val="1.9111724037514419E-2"/>
                  <c:y val="0.1923587676540432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hu-HU"/>
                      <a:t>Egyéb működési bevételek</a:t>
                    </a:r>
                  </a:p>
                  <a:p>
                    <a:pPr>
                      <a:defRPr/>
                    </a:pPr>
                    <a:r>
                      <a:rPr lang="hu-HU"/>
                      <a:t> 1 556 232 eFt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A2-4C6E-87BF-C910DFCFA03E}"/>
                </c:ext>
              </c:extLst>
            </c:dLbl>
            <c:dLbl>
              <c:idx val="1"/>
              <c:layout>
                <c:manualLayout>
                  <c:x val="-1.1454022127175539E-2"/>
                  <c:y val="5.3173834590940208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hu-HU"/>
                      <a:t>Működési célú pénzmaradvány</a:t>
                    </a:r>
                  </a:p>
                  <a:p>
                    <a:pPr>
                      <a:defRPr/>
                    </a:pPr>
                    <a:r>
                      <a:rPr lang="hu-HU"/>
                      <a:t> 534 628 eFt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A2-4C6E-87BF-C910DFCFA03E}"/>
                </c:ext>
              </c:extLst>
            </c:dLbl>
            <c:dLbl>
              <c:idx val="2"/>
              <c:layout>
                <c:manualLayout>
                  <c:x val="4.0970933981007766E-4"/>
                  <c:y val="-9.19976148814731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hu-HU"/>
                      <a:t>Iparűzési adóbevételből finanszírozott működés</a:t>
                    </a:r>
                  </a:p>
                  <a:p>
                    <a:pPr>
                      <a:defRPr/>
                    </a:pPr>
                    <a:r>
                      <a:rPr lang="hu-HU"/>
                      <a:t> 1 075 869 eFt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A2-4C6E-87BF-C910DFCFA03E}"/>
                </c:ext>
              </c:extLst>
            </c:dLbl>
            <c:dLbl>
              <c:idx val="3"/>
              <c:layout>
                <c:manualLayout>
                  <c:x val="-1.3596876525134211E-2"/>
                  <c:y val="0.3113673825689615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hu-HU"/>
                      <a:t>Iparűzési adóbevételből finanszírozott fejlesztések</a:t>
                    </a:r>
                  </a:p>
                  <a:p>
                    <a:pPr>
                      <a:defRPr/>
                    </a:pPr>
                    <a:r>
                      <a:rPr lang="hu-HU"/>
                      <a:t> 1 039 131 eFt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A2-4C6E-87BF-C910DFCFA03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hu-HU"/>
                      <a:t>Iparűzési adóbevétel</a:t>
                    </a:r>
                  </a:p>
                  <a:p>
                    <a:pPr>
                      <a:defRPr/>
                    </a:pPr>
                    <a:r>
                      <a:rPr lang="hu-HU"/>
                      <a:t> 2 115 000 eFt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A2-4C6E-87BF-C910DFCFA03E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'2014'!$A$4:$A$7</c:f>
              <c:strCache>
                <c:ptCount val="4"/>
                <c:pt idx="0">
                  <c:v>Egyéb működési bevételek</c:v>
                </c:pt>
                <c:pt idx="1">
                  <c:v>Működési célú pénzmaradvány</c:v>
                </c:pt>
                <c:pt idx="2">
                  <c:v>Iparűzési adóbevételből finanszírozott működés</c:v>
                </c:pt>
                <c:pt idx="3">
                  <c:v>Iparűzési adóbevételből finanszírozott fejlesztések</c:v>
                </c:pt>
              </c:strCache>
            </c:strRef>
          </c:cat>
          <c:val>
            <c:numRef>
              <c:f>'2014'!$B$4:$B$7</c:f>
              <c:numCache>
                <c:formatCode>#,##0</c:formatCode>
                <c:ptCount val="4"/>
                <c:pt idx="0">
                  <c:v>1556232</c:v>
                </c:pt>
                <c:pt idx="1">
                  <c:v>534628</c:v>
                </c:pt>
                <c:pt idx="2">
                  <c:v>1075869</c:v>
                </c:pt>
                <c:pt idx="3">
                  <c:v>1039131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5A2-4C6E-87BF-C910DFCFA0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  <c:spPr>
        <a:noFill/>
        <a:ln w="25402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hu-H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hu-HU" sz="1200"/>
              <a:t>Működési bevételből finanszírozott fejlesztések 2015. évben</a:t>
            </a:r>
          </a:p>
        </c:rich>
      </c:tx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'2015'!$B$3</c:f>
              <c:strCache>
                <c:ptCount val="1"/>
                <c:pt idx="0">
                  <c:v>2014. évi módosított előirányzat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6E0-4015-A905-49B5E0959F4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6E0-4015-A905-49B5E0959F4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6E0-4015-A905-49B5E0959F4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E6E0-4015-A905-49B5E0959F4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E6E0-4015-A905-49B5E0959F4F}"/>
              </c:ext>
            </c:extLst>
          </c:dPt>
          <c:dLbls>
            <c:dLbl>
              <c:idx val="0"/>
              <c:layout>
                <c:manualLayout>
                  <c:x val="1.9111761835041485E-2"/>
                  <c:y val="0.1675573275831585"/>
                </c:manualLayout>
              </c:layout>
              <c:tx>
                <c:rich>
                  <a:bodyPr/>
                  <a:lstStyle/>
                  <a:p>
                    <a:pPr>
                      <a:defRPr sz="1050"/>
                    </a:pPr>
                    <a:r>
                      <a:rPr lang="hu-HU" sz="1050"/>
                      <a:t>Egyéb működési bevételek</a:t>
                    </a:r>
                  </a:p>
                  <a:p>
                    <a:pPr>
                      <a:defRPr sz="1050"/>
                    </a:pPr>
                    <a:r>
                      <a:rPr lang="hu-HU" sz="1050"/>
                      <a:t> 1 286 267 eFt</a:t>
                    </a:r>
                    <a:endParaRPr lang="hu-H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E0-4015-A905-49B5E0959F4F}"/>
                </c:ext>
              </c:extLst>
            </c:dLbl>
            <c:dLbl>
              <c:idx val="1"/>
              <c:layout>
                <c:manualLayout>
                  <c:x val="9.0460174890199026E-3"/>
                  <c:y val="-1.5313961554269302E-2"/>
                </c:manualLayout>
              </c:layout>
              <c:tx>
                <c:rich>
                  <a:bodyPr/>
                  <a:lstStyle/>
                  <a:p>
                    <a:pPr>
                      <a:defRPr sz="1050"/>
                    </a:pPr>
                    <a:r>
                      <a:rPr lang="hu-HU" sz="1050"/>
                      <a:t>Működési célú pénzmaradvány</a:t>
                    </a:r>
                  </a:p>
                  <a:p>
                    <a:pPr>
                      <a:defRPr sz="1050"/>
                    </a:pPr>
                    <a:r>
                      <a:rPr lang="hu-HU" sz="1050"/>
                      <a:t> 350 153 eFt</a:t>
                    </a:r>
                    <a:endParaRPr lang="hu-H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E0-4015-A905-49B5E0959F4F}"/>
                </c:ext>
              </c:extLst>
            </c:dLbl>
            <c:dLbl>
              <c:idx val="2"/>
              <c:layout>
                <c:manualLayout>
                  <c:x val="-3.1166991077594915E-2"/>
                  <c:y val="0.18180670124567763"/>
                </c:manualLayout>
              </c:layout>
              <c:tx>
                <c:rich>
                  <a:bodyPr/>
                  <a:lstStyle/>
                  <a:p>
                    <a:pPr>
                      <a:defRPr sz="1050"/>
                    </a:pPr>
                    <a:r>
                      <a:rPr lang="hu-HU" sz="1050"/>
                      <a:t>Iparűzési adóbevételből finanszírozott működés</a:t>
                    </a:r>
                  </a:p>
                  <a:p>
                    <a:pPr>
                      <a:defRPr sz="1050"/>
                    </a:pPr>
                    <a:r>
                      <a:rPr lang="hu-HU" sz="1050"/>
                      <a:t> 1 396 528 eFt</a:t>
                    </a:r>
                    <a:endParaRPr lang="hu-HU" sz="1200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E0-4015-A905-49B5E0959F4F}"/>
                </c:ext>
              </c:extLst>
            </c:dLbl>
            <c:dLbl>
              <c:idx val="3"/>
              <c:layout>
                <c:manualLayout>
                  <c:x val="-3.3118517579153267E-2"/>
                  <c:y val="7.6725246094543287E-2"/>
                </c:manualLayout>
              </c:layout>
              <c:tx>
                <c:rich>
                  <a:bodyPr/>
                  <a:lstStyle/>
                  <a:p>
                    <a:pPr>
                      <a:defRPr sz="1050"/>
                    </a:pPr>
                    <a:r>
                      <a:rPr lang="hu-HU" sz="1050"/>
                      <a:t>Iparűzési adóbevételből finanszírozott fejlesztések</a:t>
                    </a:r>
                  </a:p>
                  <a:p>
                    <a:pPr>
                      <a:defRPr sz="1050"/>
                    </a:pPr>
                    <a:r>
                      <a:rPr lang="hu-HU" sz="1050"/>
                      <a:t> 603 472 eFt</a:t>
                    </a:r>
                    <a:endParaRPr lang="hu-H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E0-4015-A905-49B5E0959F4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 sz="1050"/>
                    </a:pPr>
                    <a:r>
                      <a:rPr lang="hu-HU" sz="1050"/>
                      <a:t>Iparűzési adóbevétel</a:t>
                    </a:r>
                  </a:p>
                  <a:p>
                    <a:pPr>
                      <a:defRPr sz="1050"/>
                    </a:pPr>
                    <a:r>
                      <a:rPr lang="hu-HU" sz="1050"/>
                      <a:t> 2 000 000 eFt</a:t>
                    </a:r>
                    <a:endParaRPr lang="hu-H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E0-4015-A905-49B5E0959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hu-H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'2015'!$A$4:$A$7</c:f>
              <c:strCache>
                <c:ptCount val="4"/>
                <c:pt idx="0">
                  <c:v>Egyéb működési bevételek</c:v>
                </c:pt>
                <c:pt idx="1">
                  <c:v>Működési célú pénzmaradvány</c:v>
                </c:pt>
                <c:pt idx="2">
                  <c:v>Iparűzési adóbevételből finanszírozott működés</c:v>
                </c:pt>
                <c:pt idx="3">
                  <c:v>Iparűzési adóbevételből finanszírozott fejlesztések</c:v>
                </c:pt>
              </c:strCache>
            </c:strRef>
          </c:cat>
          <c:val>
            <c:numRef>
              <c:f>'2015'!$B$4:$B$7</c:f>
              <c:numCache>
                <c:formatCode>#,##0</c:formatCode>
                <c:ptCount val="4"/>
                <c:pt idx="0">
                  <c:v>1286267</c:v>
                </c:pt>
                <c:pt idx="1">
                  <c:v>350153</c:v>
                </c:pt>
                <c:pt idx="2">
                  <c:v>1396528</c:v>
                </c:pt>
                <c:pt idx="3">
                  <c:v>603472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6E0-4015-A905-49B5E0959F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  <c:spPr>
        <a:noFill/>
        <a:ln w="25402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hu-H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8B5F-AB78-48FA-B7C4-4AF6BD3E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5733</Words>
  <Characters>39558</Characters>
  <Application>Microsoft Office Word</Application>
  <DocSecurity>0</DocSecurity>
  <Lines>329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2016-08-16T09:39:00Z</dcterms:created>
  <dcterms:modified xsi:type="dcterms:W3CDTF">2016-08-16T09:39:00Z</dcterms:modified>
</cp:coreProperties>
</file>